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8CF" w:rsidRPr="006D27BC" w:rsidRDefault="000058CF"/>
    <w:p w:rsidR="003262D2" w:rsidRDefault="006259CF" w:rsidP="003262D2">
      <w:pPr>
        <w:jc w:val="center"/>
        <w:rPr>
          <w:b/>
        </w:rPr>
      </w:pPr>
      <w:r w:rsidRPr="003262D2">
        <w:rPr>
          <w:b/>
        </w:rPr>
        <w:t>C</w:t>
      </w:r>
      <w:r w:rsidR="000058CF" w:rsidRPr="003262D2">
        <w:rPr>
          <w:b/>
        </w:rPr>
        <w:t xml:space="preserve">ollaborative Working Agreement </w:t>
      </w:r>
      <w:r w:rsidR="00DE4024">
        <w:rPr>
          <w:b/>
        </w:rPr>
        <w:t>(Sample</w:t>
      </w:r>
      <w:r w:rsidR="003262D2">
        <w:rPr>
          <w:b/>
        </w:rPr>
        <w:t>)</w:t>
      </w:r>
    </w:p>
    <w:p w:rsidR="003262D2" w:rsidRDefault="000058CF" w:rsidP="003262D2">
      <w:pPr>
        <w:jc w:val="center"/>
        <w:rPr>
          <w:b/>
        </w:rPr>
      </w:pPr>
      <w:proofErr w:type="gramStart"/>
      <w:r w:rsidRPr="003262D2">
        <w:rPr>
          <w:b/>
        </w:rPr>
        <w:t>between</w:t>
      </w:r>
      <w:proofErr w:type="gramEnd"/>
      <w:r w:rsidRPr="003262D2">
        <w:rPr>
          <w:b/>
        </w:rPr>
        <w:t xml:space="preserve"> </w:t>
      </w:r>
    </w:p>
    <w:p w:rsidR="000058CF" w:rsidRPr="003262D2" w:rsidRDefault="000058CF" w:rsidP="003262D2">
      <w:pPr>
        <w:jc w:val="center"/>
        <w:rPr>
          <w:b/>
        </w:rPr>
      </w:pPr>
      <w:r w:rsidRPr="003262D2">
        <w:rPr>
          <w:b/>
        </w:rPr>
        <w:t>Rape Crisis Centre a</w:t>
      </w:r>
      <w:r w:rsidR="00DE4024">
        <w:rPr>
          <w:b/>
        </w:rPr>
        <w:t>nd the University of [   ]</w:t>
      </w:r>
    </w:p>
    <w:p w:rsidR="00A54D3C" w:rsidRDefault="00A54D3C" w:rsidP="00A54D3C">
      <w:r>
        <w:rPr>
          <w:b/>
        </w:rPr>
        <w:t>Aims</w:t>
      </w:r>
    </w:p>
    <w:p w:rsidR="00A54D3C" w:rsidRDefault="00A54D3C" w:rsidP="00A54D3C">
      <w:r>
        <w:t>The aims</w:t>
      </w:r>
      <w:r w:rsidR="00C415D8">
        <w:t xml:space="preserve"> </w:t>
      </w:r>
      <w:r>
        <w:t>of this Collaborative Working Agreement (CWA) is to specify:</w:t>
      </w:r>
    </w:p>
    <w:p w:rsidR="00A54D3C" w:rsidRDefault="00A54D3C" w:rsidP="00A54D3C">
      <w:pPr>
        <w:pStyle w:val="ListParagraph"/>
        <w:numPr>
          <w:ilvl w:val="0"/>
          <w:numId w:val="4"/>
        </w:numPr>
      </w:pPr>
      <w:r>
        <w:t>The parties to the agreement</w:t>
      </w:r>
    </w:p>
    <w:p w:rsidR="00C415D8" w:rsidRDefault="00C415D8" w:rsidP="00C415D8">
      <w:pPr>
        <w:pStyle w:val="ListParagraph"/>
        <w:numPr>
          <w:ilvl w:val="0"/>
          <w:numId w:val="4"/>
        </w:numPr>
      </w:pPr>
      <w:r>
        <w:t>the benefits of the collaboration</w:t>
      </w:r>
    </w:p>
    <w:p w:rsidR="00A54D3C" w:rsidRDefault="00A54D3C" w:rsidP="00A54D3C">
      <w:pPr>
        <w:pStyle w:val="ListParagraph"/>
        <w:numPr>
          <w:ilvl w:val="0"/>
          <w:numId w:val="4"/>
        </w:numPr>
      </w:pPr>
      <w:r>
        <w:t>The definition of GBV to be used</w:t>
      </w:r>
    </w:p>
    <w:p w:rsidR="00A54D3C" w:rsidRDefault="00A54D3C" w:rsidP="00A54D3C">
      <w:pPr>
        <w:pStyle w:val="ListParagraph"/>
        <w:numPr>
          <w:ilvl w:val="0"/>
          <w:numId w:val="4"/>
        </w:numPr>
      </w:pPr>
      <w:r>
        <w:t xml:space="preserve">the areas of collaboration </w:t>
      </w:r>
      <w:r w:rsidR="003262D2">
        <w:t xml:space="preserve">and activities </w:t>
      </w:r>
    </w:p>
    <w:p w:rsidR="00A54D3C" w:rsidRDefault="00A54D3C" w:rsidP="00A54D3C">
      <w:pPr>
        <w:pStyle w:val="ListParagraph"/>
        <w:numPr>
          <w:ilvl w:val="0"/>
          <w:numId w:val="4"/>
        </w:numPr>
      </w:pPr>
      <w:r>
        <w:t>the duration of the CWA</w:t>
      </w:r>
    </w:p>
    <w:p w:rsidR="00A54D3C" w:rsidRDefault="00A54D3C" w:rsidP="00A54D3C">
      <w:pPr>
        <w:pStyle w:val="ListParagraph"/>
        <w:numPr>
          <w:ilvl w:val="0"/>
          <w:numId w:val="4"/>
        </w:numPr>
      </w:pPr>
      <w:r>
        <w:t>how and when the CWA will be reviewed</w:t>
      </w:r>
    </w:p>
    <w:p w:rsidR="00A54D3C" w:rsidRDefault="00A54D3C" w:rsidP="000058CF"/>
    <w:p w:rsidR="00C415D8" w:rsidRDefault="00C415D8" w:rsidP="00A54D3C">
      <w:pPr>
        <w:pStyle w:val="ListParagraph"/>
        <w:numPr>
          <w:ilvl w:val="0"/>
          <w:numId w:val="5"/>
        </w:numPr>
        <w:rPr>
          <w:rFonts w:cs="Arial"/>
          <w:b/>
        </w:rPr>
      </w:pPr>
      <w:r>
        <w:rPr>
          <w:rFonts w:cs="Arial"/>
          <w:b/>
        </w:rPr>
        <w:t>Parties to the Agreement</w:t>
      </w:r>
    </w:p>
    <w:p w:rsidR="00851B3F" w:rsidRPr="00C415D8" w:rsidRDefault="00C415D8" w:rsidP="00C415D8">
      <w:pPr>
        <w:ind w:left="360"/>
        <w:rPr>
          <w:rFonts w:cs="Arial"/>
          <w:b/>
        </w:rPr>
      </w:pPr>
      <w:r>
        <w:rPr>
          <w:rFonts w:cs="Arial"/>
          <w:b/>
        </w:rPr>
        <w:t xml:space="preserve">1.1 </w:t>
      </w:r>
      <w:r w:rsidR="00725F22">
        <w:rPr>
          <w:rFonts w:cs="Arial"/>
          <w:b/>
        </w:rPr>
        <w:t>[   ]</w:t>
      </w:r>
      <w:r w:rsidR="00851B3F" w:rsidRPr="00C415D8">
        <w:rPr>
          <w:rFonts w:cs="Arial"/>
          <w:b/>
        </w:rPr>
        <w:t xml:space="preserve"> Rape Crisis Centre</w:t>
      </w:r>
    </w:p>
    <w:p w:rsidR="006259CF" w:rsidRDefault="00725F22" w:rsidP="00851B3F">
      <w:pPr>
        <w:rPr>
          <w:rFonts w:cs="Arial"/>
        </w:rPr>
      </w:pPr>
      <w:r>
        <w:rPr>
          <w:rFonts w:cs="Arial"/>
        </w:rPr>
        <w:t xml:space="preserve">[   ] Rape Crisis Centre was established [   ]  </w:t>
      </w:r>
      <w:r w:rsidR="00851B3F" w:rsidRPr="006D27BC">
        <w:rPr>
          <w:rFonts w:cs="Arial"/>
        </w:rPr>
        <w:t xml:space="preserve"> and offers a range of services to survivors of rape and sexual assault, their partners, family and carers. </w:t>
      </w:r>
      <w:r w:rsidR="00851B3F">
        <w:rPr>
          <w:rFonts w:cs="Arial"/>
        </w:rPr>
        <w:t xml:space="preserve">GRCC </w:t>
      </w:r>
      <w:r w:rsidR="006259CF">
        <w:rPr>
          <w:rFonts w:cs="Arial"/>
        </w:rPr>
        <w:t>is</w:t>
      </w:r>
      <w:r w:rsidR="00851B3F">
        <w:rPr>
          <w:rFonts w:cs="Arial"/>
        </w:rPr>
        <w:t xml:space="preserve"> </w:t>
      </w:r>
      <w:proofErr w:type="gramStart"/>
      <w:r w:rsidR="00851B3F">
        <w:rPr>
          <w:rFonts w:cs="Arial"/>
        </w:rPr>
        <w:t xml:space="preserve">located </w:t>
      </w:r>
      <w:r>
        <w:rPr>
          <w:rFonts w:cs="Arial"/>
        </w:rPr>
        <w:t xml:space="preserve"> at</w:t>
      </w:r>
      <w:proofErr w:type="gramEnd"/>
      <w:r>
        <w:rPr>
          <w:rFonts w:cs="Arial"/>
        </w:rPr>
        <w:t xml:space="preserve"> [   ]</w:t>
      </w:r>
    </w:p>
    <w:p w:rsidR="006259CF" w:rsidRDefault="006259CF" w:rsidP="00851B3F">
      <w:pPr>
        <w:rPr>
          <w:rFonts w:cs="Arial"/>
        </w:rPr>
      </w:pPr>
      <w:r>
        <w:rPr>
          <w:rFonts w:cs="Arial"/>
        </w:rPr>
        <w:t>RCC aims are as follows:</w:t>
      </w:r>
    </w:p>
    <w:p w:rsidR="006259CF" w:rsidRPr="006259CF" w:rsidRDefault="006259CF" w:rsidP="006259C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To r</w:t>
      </w:r>
      <w:r w:rsidRPr="006259CF">
        <w:rPr>
          <w:rFonts w:cs="Arial"/>
        </w:rPr>
        <w:t>espond to and promote the needs of survivors of sexual violence</w:t>
      </w:r>
    </w:p>
    <w:p w:rsidR="006259CF" w:rsidRDefault="006259CF" w:rsidP="006259C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To reduce the impact of sexual violence by supporting, educating, informing and advocating for survivors.</w:t>
      </w:r>
    </w:p>
    <w:p w:rsidR="006259CF" w:rsidRDefault="006259CF" w:rsidP="006259C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To challenge oppression of women and girls in all its forms.</w:t>
      </w:r>
    </w:p>
    <w:p w:rsidR="006259CF" w:rsidRPr="006259CF" w:rsidRDefault="006259CF" w:rsidP="006259CF">
      <w:pPr>
        <w:pStyle w:val="ListParagraph"/>
        <w:numPr>
          <w:ilvl w:val="0"/>
          <w:numId w:val="2"/>
        </w:numPr>
        <w:rPr>
          <w:rFonts w:cs="Arial"/>
        </w:rPr>
      </w:pPr>
      <w:r>
        <w:rPr>
          <w:rFonts w:cs="Arial"/>
        </w:rPr>
        <w:t>To challenge attitudes that condone or collude with sexual violence against women and girls through prevention education and training</w:t>
      </w:r>
    </w:p>
    <w:p w:rsidR="00851B3F" w:rsidRDefault="006259CF" w:rsidP="006259CF">
      <w:pPr>
        <w:rPr>
          <w:rFonts w:eastAsia="Times New Roman" w:cs="Times New Roman"/>
          <w:color w:val="333333"/>
          <w:lang w:eastAsia="en-GB"/>
        </w:rPr>
      </w:pPr>
      <w:r>
        <w:rPr>
          <w:rFonts w:eastAsia="Times New Roman" w:cs="Times New Roman"/>
          <w:color w:val="333333"/>
          <w:lang w:eastAsia="en-GB"/>
        </w:rPr>
        <w:t xml:space="preserve">RCC are continually working to improve access to their services for </w:t>
      </w:r>
      <w:r w:rsidR="00A54D3C">
        <w:rPr>
          <w:rFonts w:eastAsia="Times New Roman" w:cs="Times New Roman"/>
          <w:color w:val="333333"/>
          <w:lang w:eastAsia="en-GB"/>
        </w:rPr>
        <w:t xml:space="preserve">survivors and by making use of </w:t>
      </w:r>
      <w:r>
        <w:rPr>
          <w:rFonts w:eastAsia="Times New Roman" w:cs="Times New Roman"/>
          <w:color w:val="333333"/>
          <w:lang w:eastAsia="en-GB"/>
        </w:rPr>
        <w:t xml:space="preserve">emerging technologies to extend the ways survivors and others can contact their series.  The Centre works with a diverse population and is developing services to ensure as all survivors can find accessible, relevant and appropriate </w:t>
      </w:r>
      <w:proofErr w:type="gramStart"/>
      <w:r>
        <w:rPr>
          <w:rFonts w:eastAsia="Times New Roman" w:cs="Times New Roman"/>
          <w:color w:val="333333"/>
          <w:lang w:eastAsia="en-GB"/>
        </w:rPr>
        <w:t>support which</w:t>
      </w:r>
      <w:proofErr w:type="gramEnd"/>
      <w:r>
        <w:rPr>
          <w:rFonts w:eastAsia="Times New Roman" w:cs="Times New Roman"/>
          <w:color w:val="333333"/>
          <w:lang w:eastAsia="en-GB"/>
        </w:rPr>
        <w:t xml:space="preserve"> meets their needs. </w:t>
      </w:r>
    </w:p>
    <w:p w:rsidR="00851B3F" w:rsidRPr="006D27BC" w:rsidRDefault="00851B3F" w:rsidP="000058CF"/>
    <w:p w:rsidR="009F7EE8" w:rsidRPr="006259CF" w:rsidRDefault="003262D2" w:rsidP="000058CF">
      <w:pPr>
        <w:rPr>
          <w:rFonts w:cs="Arial"/>
          <w:b/>
          <w:lang w:val="en-US"/>
        </w:rPr>
      </w:pPr>
      <w:r>
        <w:rPr>
          <w:rFonts w:cs="Arial"/>
          <w:b/>
          <w:lang w:val="en-US"/>
        </w:rPr>
        <w:t xml:space="preserve">      </w:t>
      </w:r>
      <w:r w:rsidR="00C415D8">
        <w:rPr>
          <w:rFonts w:cs="Arial"/>
          <w:b/>
          <w:lang w:val="en-US"/>
        </w:rPr>
        <w:t xml:space="preserve">1.2 </w:t>
      </w:r>
      <w:r w:rsidR="00725F22">
        <w:rPr>
          <w:rFonts w:cs="Arial"/>
          <w:b/>
          <w:lang w:val="en-US"/>
        </w:rPr>
        <w:t>The University of [   ]</w:t>
      </w:r>
    </w:p>
    <w:p w:rsidR="00A54D3C" w:rsidRPr="00A54D3C" w:rsidRDefault="00A54D3C" w:rsidP="00A54D3C">
      <w:pPr>
        <w:rPr>
          <w:rFonts w:cstheme="minorHAnsi"/>
        </w:rPr>
      </w:pPr>
      <w:r w:rsidRPr="00264B06">
        <w:t>The University</w:t>
      </w:r>
      <w:r w:rsidR="00725F22">
        <w:t xml:space="preserve"> of [   </w:t>
      </w:r>
      <w:proofErr w:type="gramStart"/>
      <w:r w:rsidR="00725F22">
        <w:t xml:space="preserve">] </w:t>
      </w:r>
      <w:r w:rsidRPr="00264B06">
        <w:t xml:space="preserve"> is</w:t>
      </w:r>
      <w:proofErr w:type="gramEnd"/>
      <w:r w:rsidRPr="00264B06">
        <w:t xml:space="preserve"> committed to </w:t>
      </w:r>
      <w:r>
        <w:t xml:space="preserve">promoting gender equality, both in and outside the workplace. The University recognises that certain types of violence have a disproportionate effect on women, as they result from gender inequality in wider society.  </w:t>
      </w:r>
      <w:r>
        <w:rPr>
          <w:rFonts w:cstheme="minorHAnsi"/>
        </w:rPr>
        <w:t>The University recognises it responsibilities as a public body to</w:t>
      </w:r>
      <w:r>
        <w:t xml:space="preserve"> promote equality, raise awareness of and challenge</w:t>
      </w:r>
      <w:r w:rsidRPr="00845A62">
        <w:t xml:space="preserve"> </w:t>
      </w:r>
      <w:r>
        <w:t>GBV within the campus community</w:t>
      </w:r>
      <w:r w:rsidR="003262D2">
        <w:t xml:space="preserve">.  </w:t>
      </w:r>
      <w:r w:rsidR="00725F22">
        <w:t xml:space="preserve">The University’s GBV Prevention Strategy [   </w:t>
      </w:r>
      <w:proofErr w:type="gramStart"/>
      <w:r w:rsidR="00725F22">
        <w:t>]  outlines</w:t>
      </w:r>
      <w:proofErr w:type="gramEnd"/>
      <w:r w:rsidR="00725F22">
        <w:t xml:space="preserve"> its priorities and actions </w:t>
      </w:r>
      <w:r w:rsidR="003262D2">
        <w:t xml:space="preserve">for addressing GBV across campus.  </w:t>
      </w:r>
    </w:p>
    <w:p w:rsidR="00725F22" w:rsidRDefault="003262D2" w:rsidP="00725F22">
      <w:pPr>
        <w:rPr>
          <w:rFonts w:cstheme="minorHAnsi"/>
          <w:b/>
        </w:rPr>
      </w:pPr>
      <w:r>
        <w:rPr>
          <w:rFonts w:cstheme="minorHAnsi"/>
          <w:b/>
        </w:rPr>
        <w:t xml:space="preserve">     </w:t>
      </w:r>
    </w:p>
    <w:p w:rsidR="00C415D8" w:rsidRDefault="00C415D8" w:rsidP="00725F22">
      <w:pPr>
        <w:rPr>
          <w:b/>
        </w:rPr>
      </w:pPr>
      <w:r>
        <w:rPr>
          <w:b/>
        </w:rPr>
        <w:t>Benefits of collaboration</w:t>
      </w:r>
    </w:p>
    <w:p w:rsidR="00C415D8" w:rsidRPr="00C415D8" w:rsidRDefault="00C415D8" w:rsidP="00C415D8">
      <w:pPr>
        <w:rPr>
          <w:b/>
        </w:rPr>
      </w:pPr>
    </w:p>
    <w:p w:rsidR="000058CF" w:rsidRPr="00A54D3C" w:rsidRDefault="00851B3F" w:rsidP="00A54D3C">
      <w:pPr>
        <w:pStyle w:val="ListParagraph"/>
        <w:numPr>
          <w:ilvl w:val="0"/>
          <w:numId w:val="5"/>
        </w:numPr>
        <w:rPr>
          <w:b/>
        </w:rPr>
      </w:pPr>
      <w:proofErr w:type="spellStart"/>
      <w:r w:rsidRPr="00A54D3C">
        <w:rPr>
          <w:b/>
        </w:rPr>
        <w:t>Gender-based</w:t>
      </w:r>
      <w:proofErr w:type="spellEnd"/>
      <w:r w:rsidRPr="00A54D3C">
        <w:rPr>
          <w:b/>
        </w:rPr>
        <w:t xml:space="preserve"> Violence</w:t>
      </w:r>
      <w:r w:rsidR="000058CF" w:rsidRPr="00A54D3C">
        <w:rPr>
          <w:b/>
        </w:rPr>
        <w:t xml:space="preserve"> </w:t>
      </w:r>
    </w:p>
    <w:p w:rsidR="000058CF" w:rsidRDefault="00851B3F">
      <w:r>
        <w:t xml:space="preserve">The term </w:t>
      </w:r>
      <w:proofErr w:type="spellStart"/>
      <w:r>
        <w:t>gender-based</w:t>
      </w:r>
      <w:proofErr w:type="spellEnd"/>
      <w:r>
        <w:t xml:space="preserve"> violence (GBV) outlined in Equally Safe will be used in this agreement.  This term recognises that GBV is broadly a function of gender inequality.  While it is acknowledged that GBV</w:t>
      </w:r>
      <w:r w:rsidRPr="00FA00FE">
        <w:t xml:space="preserve"> mostly affects women and that men are the main perpetrators, it may </w:t>
      </w:r>
      <w:proofErr w:type="gramStart"/>
      <w:r w:rsidRPr="00FA00FE">
        <w:t>imp</w:t>
      </w:r>
      <w:r>
        <w:t>act</w:t>
      </w:r>
      <w:proofErr w:type="gramEnd"/>
      <w:r>
        <w:t xml:space="preserve"> individuals of any gender,</w:t>
      </w:r>
      <w:r w:rsidRPr="00FA00FE">
        <w:t xml:space="preserve"> sexual orientation</w:t>
      </w:r>
      <w:r>
        <w:t xml:space="preserve">, faith or ethnicity.  </w:t>
      </w:r>
      <w:r w:rsidR="006259CF">
        <w:t xml:space="preserve">It </w:t>
      </w:r>
      <w:proofErr w:type="gramStart"/>
      <w:r w:rsidR="006259CF">
        <w:t xml:space="preserve">is </w:t>
      </w:r>
      <w:r w:rsidRPr="00FA00FE">
        <w:t>acknowle</w:t>
      </w:r>
      <w:r w:rsidR="006259CF">
        <w:t>dged</w:t>
      </w:r>
      <w:proofErr w:type="gramEnd"/>
      <w:r w:rsidR="006259CF">
        <w:t xml:space="preserve"> </w:t>
      </w:r>
      <w:r>
        <w:t xml:space="preserve">that </w:t>
      </w:r>
      <w:r w:rsidRPr="00FA00FE">
        <w:rPr>
          <w:shd w:val="clear" w:color="auto" w:fill="FFFFFF"/>
        </w:rPr>
        <w:t>homopho</w:t>
      </w:r>
      <w:r>
        <w:rPr>
          <w:shd w:val="clear" w:color="auto" w:fill="FFFFFF"/>
        </w:rPr>
        <w:t>bia, biphobia and transphobia are forms of GBV</w:t>
      </w:r>
      <w:r w:rsidRPr="00FA00FE">
        <w:rPr>
          <w:rFonts w:cs="Calibri"/>
        </w:rPr>
        <w:t xml:space="preserve">.  </w:t>
      </w:r>
      <w:r>
        <w:t xml:space="preserve">GBV </w:t>
      </w:r>
      <w:r w:rsidRPr="00545C4D">
        <w:t>takes the form of actions that result in physical, sexual and psychological</w:t>
      </w:r>
      <w:r>
        <w:t xml:space="preserve"> harm or suffering to women, children and young people</w:t>
      </w:r>
      <w:r w:rsidRPr="00545C4D">
        <w:t>, or affront to their human dignity, including threats of such acts, coercion or arbitrary deprivation of liberty, whether occur</w:t>
      </w:r>
      <w:r>
        <w:t>ring in public or private life.</w:t>
      </w:r>
      <w:r w:rsidR="006259CF">
        <w:t xml:space="preserve">  Examples of GBV include domestic abuse, sexual violence, stalking, harassment, harmful cultural practices and commercial sexual exploitation.</w:t>
      </w:r>
    </w:p>
    <w:p w:rsidR="00851B3F" w:rsidRPr="006D27BC" w:rsidRDefault="00851B3F"/>
    <w:p w:rsidR="00C415D8" w:rsidRDefault="00A54D3C" w:rsidP="00A54D3C">
      <w:pPr>
        <w:pStyle w:val="ListParagraph"/>
        <w:numPr>
          <w:ilvl w:val="0"/>
          <w:numId w:val="5"/>
        </w:numPr>
        <w:rPr>
          <w:b/>
        </w:rPr>
      </w:pPr>
      <w:r w:rsidRPr="00F40C81">
        <w:rPr>
          <w:b/>
        </w:rPr>
        <w:t>Areas of collaboration</w:t>
      </w:r>
      <w:r w:rsidR="003262D2">
        <w:rPr>
          <w:b/>
        </w:rPr>
        <w:t xml:space="preserve"> and activit</w:t>
      </w:r>
      <w:r w:rsidR="00707E3F">
        <w:rPr>
          <w:b/>
        </w:rPr>
        <w:t>i</w:t>
      </w:r>
      <w:r w:rsidR="003262D2">
        <w:rPr>
          <w:b/>
        </w:rPr>
        <w:t>es</w:t>
      </w:r>
    </w:p>
    <w:p w:rsidR="00C415D8" w:rsidRPr="00C415D8" w:rsidRDefault="00C415D8" w:rsidP="00C415D8">
      <w:pPr>
        <w:rPr>
          <w:b/>
        </w:rPr>
      </w:pPr>
      <w:r>
        <w:t>The areas for</w:t>
      </w:r>
      <w:r w:rsidR="00725F22">
        <w:t xml:space="preserve"> collaboration reflect four of the University’s key GBV Prevention </w:t>
      </w:r>
      <w:r>
        <w:t>work streams as follows:</w:t>
      </w:r>
    </w:p>
    <w:p w:rsidR="00725F22" w:rsidRDefault="00725F22" w:rsidP="00C415D8">
      <w:pPr>
        <w:pStyle w:val="ListParagraph"/>
        <w:numPr>
          <w:ilvl w:val="0"/>
          <w:numId w:val="6"/>
        </w:numPr>
      </w:pPr>
      <w:r>
        <w:t>Responding to GBV on campus</w:t>
      </w:r>
    </w:p>
    <w:p w:rsidR="00C415D8" w:rsidRDefault="00C415D8" w:rsidP="00C415D8">
      <w:pPr>
        <w:pStyle w:val="ListParagraph"/>
        <w:numPr>
          <w:ilvl w:val="0"/>
          <w:numId w:val="6"/>
        </w:numPr>
      </w:pPr>
      <w:r>
        <w:t>GBV Prevention</w:t>
      </w:r>
    </w:p>
    <w:p w:rsidR="00C415D8" w:rsidRDefault="00C415D8" w:rsidP="00C415D8">
      <w:pPr>
        <w:pStyle w:val="ListParagraph"/>
        <w:numPr>
          <w:ilvl w:val="0"/>
          <w:numId w:val="6"/>
        </w:numPr>
      </w:pPr>
      <w:r>
        <w:t>GBV Research</w:t>
      </w:r>
    </w:p>
    <w:p w:rsidR="00C415D8" w:rsidRDefault="00C415D8" w:rsidP="00C415D8">
      <w:pPr>
        <w:pStyle w:val="ListParagraph"/>
        <w:numPr>
          <w:ilvl w:val="0"/>
          <w:numId w:val="6"/>
        </w:numPr>
      </w:pPr>
      <w:r>
        <w:t>G</w:t>
      </w:r>
      <w:r w:rsidR="00725F22">
        <w:t>B</w:t>
      </w:r>
      <w:r>
        <w:t xml:space="preserve">V Early Intervention. </w:t>
      </w:r>
    </w:p>
    <w:p w:rsidR="00C415D8" w:rsidRDefault="00BC6627" w:rsidP="00BC6627">
      <w:pPr>
        <w:rPr>
          <w:b/>
        </w:rPr>
      </w:pPr>
      <w:r w:rsidRPr="00BC6627">
        <w:t>The Un</w:t>
      </w:r>
      <w:r w:rsidR="00725F22">
        <w:t xml:space="preserve">iversity will collaborate with </w:t>
      </w:r>
      <w:r w:rsidRPr="00BC6627">
        <w:t xml:space="preserve">RCC and draw on its expertise to ensure models of good practice and national standards in the support of survivors of GBV </w:t>
      </w:r>
      <w:proofErr w:type="gramStart"/>
      <w:r w:rsidRPr="00BC6627">
        <w:t>are incorporated</w:t>
      </w:r>
      <w:proofErr w:type="gramEnd"/>
      <w:r w:rsidRPr="00BC6627">
        <w:t xml:space="preserve"> into the </w:t>
      </w:r>
      <w:r>
        <w:t xml:space="preserve">University’s strategy for implementing Equally Safe across the University community. </w:t>
      </w:r>
    </w:p>
    <w:p w:rsidR="003262D2" w:rsidRDefault="00BC6627" w:rsidP="00BC6627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Benefits of the CWA</w:t>
      </w:r>
    </w:p>
    <w:p w:rsidR="00B55311" w:rsidRPr="001E7187" w:rsidRDefault="00BC6627" w:rsidP="00BC6627">
      <w:r w:rsidRPr="001E7187">
        <w:t>The University re</w:t>
      </w:r>
      <w:r w:rsidR="001E7187">
        <w:t>cognises its</w:t>
      </w:r>
      <w:r w:rsidR="00B55311" w:rsidRPr="001E7187">
        <w:t xml:space="preserve"> duty of care to those</w:t>
      </w:r>
      <w:r w:rsidRPr="001E7187">
        <w:t xml:space="preserve"> staff and students</w:t>
      </w:r>
      <w:r w:rsidR="001E7187">
        <w:t xml:space="preserve"> </w:t>
      </w:r>
      <w:r w:rsidR="00725F22">
        <w:t xml:space="preserve">affected by GBV.  </w:t>
      </w:r>
      <w:r w:rsidRPr="001E7187">
        <w:t xml:space="preserve">RCC is a publicly funded specialist agency </w:t>
      </w:r>
      <w:r w:rsidR="00B55311" w:rsidRPr="001E7187">
        <w:t>committed to supporting survivors of GBV</w:t>
      </w:r>
      <w:r w:rsidR="001E7187">
        <w:t xml:space="preserve"> and increasing its visibility </w:t>
      </w:r>
      <w:r w:rsidR="00725F22">
        <w:t xml:space="preserve">and accessibility in the [   </w:t>
      </w:r>
      <w:proofErr w:type="gramStart"/>
      <w:r w:rsidR="00725F22">
        <w:t xml:space="preserve">] </w:t>
      </w:r>
      <w:r w:rsidR="001E7187">
        <w:t xml:space="preserve"> area</w:t>
      </w:r>
      <w:proofErr w:type="gramEnd"/>
      <w:r w:rsidR="00B55311" w:rsidRPr="001E7187">
        <w:t xml:space="preserve">. </w:t>
      </w:r>
      <w:r w:rsidR="001E7187">
        <w:t xml:space="preserve">The numbers of survivors reporting and/or disclosing their experiences of rape and sexual assault continues to rise.  The need for specialist services for those affected </w:t>
      </w:r>
      <w:proofErr w:type="gramStart"/>
      <w:r w:rsidR="001E7187">
        <w:t>is well documented</w:t>
      </w:r>
      <w:proofErr w:type="gramEnd"/>
      <w:r w:rsidR="001E7187">
        <w:t xml:space="preserve"> elsewhere. </w:t>
      </w:r>
      <w:r w:rsidR="00B55311" w:rsidRPr="001E7187">
        <w:t>Both parties have made a public commitment to the national approach outlined in Equally Safe</w:t>
      </w:r>
      <w:r w:rsidR="001E7187">
        <w:t xml:space="preserve"> focussed on prevention and early intervention</w:t>
      </w:r>
      <w:r w:rsidR="00B55311" w:rsidRPr="001E7187">
        <w:t xml:space="preserve">. This CWA will benefit both parties by </w:t>
      </w:r>
    </w:p>
    <w:p w:rsidR="00B55311" w:rsidRPr="001E7187" w:rsidRDefault="00B55311" w:rsidP="00B55311">
      <w:pPr>
        <w:pStyle w:val="ListParagraph"/>
        <w:numPr>
          <w:ilvl w:val="0"/>
          <w:numId w:val="9"/>
        </w:numPr>
      </w:pPr>
      <w:r w:rsidRPr="001E7187">
        <w:t>enhancing the contribution of both parties to the national strategy for implementing Equally Safe</w:t>
      </w:r>
    </w:p>
    <w:p w:rsidR="00B55311" w:rsidRPr="001E7187" w:rsidRDefault="00B55311" w:rsidP="00B55311">
      <w:pPr>
        <w:pStyle w:val="ListParagraph"/>
        <w:numPr>
          <w:ilvl w:val="0"/>
          <w:numId w:val="9"/>
        </w:numPr>
      </w:pPr>
      <w:r w:rsidRPr="001E7187">
        <w:t>ensuring the experiences of GBV survivors inform the University’s GV Prevention Strategy</w:t>
      </w:r>
    </w:p>
    <w:p w:rsidR="00B55311" w:rsidRPr="001E7187" w:rsidRDefault="00725F22" w:rsidP="00B55311">
      <w:pPr>
        <w:pStyle w:val="ListParagraph"/>
        <w:numPr>
          <w:ilvl w:val="0"/>
          <w:numId w:val="9"/>
        </w:numPr>
      </w:pPr>
      <w:r>
        <w:t xml:space="preserve">making </w:t>
      </w:r>
      <w:r w:rsidR="00B55311" w:rsidRPr="001E7187">
        <w:t xml:space="preserve">RCC services more </w:t>
      </w:r>
      <w:r w:rsidR="001E7187" w:rsidRPr="001E7187">
        <w:t xml:space="preserve">visible and </w:t>
      </w:r>
      <w:r w:rsidR="00B55311" w:rsidRPr="001E7187">
        <w:t xml:space="preserve">accessible </w:t>
      </w:r>
      <w:r w:rsidR="001E7187" w:rsidRPr="001E7187">
        <w:t>across</w:t>
      </w:r>
      <w:r w:rsidR="00B55311" w:rsidRPr="001E7187">
        <w:t xml:space="preserve"> campus community</w:t>
      </w:r>
    </w:p>
    <w:p w:rsidR="00B55311" w:rsidRPr="001E7187" w:rsidRDefault="00B55311" w:rsidP="00B55311">
      <w:pPr>
        <w:pStyle w:val="ListParagraph"/>
        <w:numPr>
          <w:ilvl w:val="0"/>
          <w:numId w:val="9"/>
        </w:numPr>
      </w:pPr>
      <w:proofErr w:type="gramStart"/>
      <w:r w:rsidRPr="001E7187">
        <w:t>building</w:t>
      </w:r>
      <w:proofErr w:type="gramEnd"/>
      <w:r w:rsidRPr="001E7187">
        <w:t xml:space="preserve"> capacity with the University’s existing support and service framework for staff and students affected by GBV.</w:t>
      </w:r>
    </w:p>
    <w:p w:rsidR="00BC6627" w:rsidRDefault="001E7187" w:rsidP="00B55311">
      <w:pPr>
        <w:pStyle w:val="ListParagraph"/>
        <w:numPr>
          <w:ilvl w:val="0"/>
          <w:numId w:val="9"/>
        </w:numPr>
        <w:rPr>
          <w:b/>
        </w:rPr>
      </w:pPr>
      <w:r w:rsidRPr="001E7187">
        <w:t xml:space="preserve">Contributing to the </w:t>
      </w:r>
      <w:r w:rsidR="00725F22">
        <w:t xml:space="preserve">local areas’ </w:t>
      </w:r>
      <w:r w:rsidRPr="001E7187">
        <w:t>wider coordinated response to GBV</w:t>
      </w:r>
    </w:p>
    <w:p w:rsidR="001E7187" w:rsidRPr="001E7187" w:rsidRDefault="001E7187" w:rsidP="00B55311">
      <w:pPr>
        <w:pStyle w:val="ListParagraph"/>
        <w:numPr>
          <w:ilvl w:val="0"/>
          <w:numId w:val="9"/>
        </w:numPr>
      </w:pPr>
      <w:r w:rsidRPr="001E7187">
        <w:t xml:space="preserve">Support </w:t>
      </w:r>
      <w:bookmarkStart w:id="0" w:name="_GoBack"/>
      <w:bookmarkEnd w:id="0"/>
      <w:r w:rsidRPr="001E7187">
        <w:t>RCC’s need t</w:t>
      </w:r>
      <w:r>
        <w:t>o attract to additional investment to support its work at a time when demand for its services continues to rise.</w:t>
      </w:r>
    </w:p>
    <w:p w:rsidR="001E7187" w:rsidRPr="00B55311" w:rsidRDefault="001E7187" w:rsidP="001E7187">
      <w:pPr>
        <w:pStyle w:val="ListParagraph"/>
        <w:rPr>
          <w:b/>
        </w:rPr>
      </w:pPr>
    </w:p>
    <w:p w:rsidR="003262D2" w:rsidRDefault="003262D2" w:rsidP="003262D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Duration of the CWA</w:t>
      </w:r>
    </w:p>
    <w:p w:rsidR="00707E3F" w:rsidRPr="00707E3F" w:rsidRDefault="00707E3F" w:rsidP="00707E3F">
      <w:pPr>
        <w:ind w:left="360"/>
      </w:pPr>
      <w:r w:rsidRPr="00707E3F">
        <w:lastRenderedPageBreak/>
        <w:t xml:space="preserve">This agreement will be for one year in the first instance and reviewed annually thereafter. </w:t>
      </w:r>
    </w:p>
    <w:p w:rsidR="003262D2" w:rsidRDefault="003262D2" w:rsidP="003262D2">
      <w:pPr>
        <w:pStyle w:val="ListParagraph"/>
        <w:rPr>
          <w:b/>
        </w:rPr>
      </w:pPr>
    </w:p>
    <w:p w:rsidR="003262D2" w:rsidRDefault="003262D2" w:rsidP="003262D2">
      <w:pPr>
        <w:pStyle w:val="ListParagraph"/>
        <w:rPr>
          <w:b/>
        </w:rPr>
      </w:pPr>
    </w:p>
    <w:p w:rsidR="003262D2" w:rsidRDefault="003262D2" w:rsidP="003262D2">
      <w:pPr>
        <w:pStyle w:val="ListParagraph"/>
        <w:rPr>
          <w:b/>
        </w:rPr>
      </w:pPr>
    </w:p>
    <w:p w:rsidR="003262D2" w:rsidRDefault="003262D2" w:rsidP="003262D2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How and when the CWA will be reviewed</w:t>
      </w:r>
    </w:p>
    <w:p w:rsidR="00BC6627" w:rsidRPr="00BC6627" w:rsidRDefault="00BC6627" w:rsidP="00BC6627">
      <w:r w:rsidRPr="00BC6627">
        <w:t xml:space="preserve">Outcomes for the areas of collaboration will be agreed </w:t>
      </w:r>
      <w:r>
        <w:t xml:space="preserve">by both parties </w:t>
      </w:r>
      <w:r w:rsidRPr="00BC6627">
        <w:t>and progress will be reviewed six monthly.</w:t>
      </w:r>
    </w:p>
    <w:p w:rsidR="00C415D8" w:rsidRPr="006D27BC" w:rsidRDefault="00C415D8" w:rsidP="00C415D8"/>
    <w:p w:rsidR="006D27BC" w:rsidRPr="006D27BC" w:rsidRDefault="006D27BC"/>
    <w:sectPr w:rsidR="006D27BC" w:rsidRPr="006D2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9CB" w:rsidRDefault="007759CB" w:rsidP="009F7EE8">
      <w:pPr>
        <w:spacing w:after="0" w:line="240" w:lineRule="auto"/>
      </w:pPr>
      <w:r>
        <w:separator/>
      </w:r>
    </w:p>
  </w:endnote>
  <w:endnote w:type="continuationSeparator" w:id="0">
    <w:p w:rsidR="007759CB" w:rsidRDefault="007759CB" w:rsidP="009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87" w:rsidRDefault="001E7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87" w:rsidRDefault="001E71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87" w:rsidRDefault="001E7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9CB" w:rsidRDefault="007759CB" w:rsidP="009F7EE8">
      <w:pPr>
        <w:spacing w:after="0" w:line="240" w:lineRule="auto"/>
      </w:pPr>
      <w:r>
        <w:separator/>
      </w:r>
    </w:p>
  </w:footnote>
  <w:footnote w:type="continuationSeparator" w:id="0">
    <w:p w:rsidR="007759CB" w:rsidRDefault="007759CB" w:rsidP="009F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87" w:rsidRDefault="001E71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9156785"/>
      <w:docPartObj>
        <w:docPartGallery w:val="Watermarks"/>
        <w:docPartUnique/>
      </w:docPartObj>
    </w:sdtPr>
    <w:sdtEndPr/>
    <w:sdtContent>
      <w:p w:rsidR="001E7187" w:rsidRDefault="007759CB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187" w:rsidRDefault="001E71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24430"/>
    <w:multiLevelType w:val="hybridMultilevel"/>
    <w:tmpl w:val="6C9C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D7B"/>
    <w:multiLevelType w:val="hybridMultilevel"/>
    <w:tmpl w:val="8F343C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06FDB"/>
    <w:multiLevelType w:val="hybridMultilevel"/>
    <w:tmpl w:val="F7644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284A"/>
    <w:multiLevelType w:val="multilevel"/>
    <w:tmpl w:val="9BF0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D1210D"/>
    <w:multiLevelType w:val="hybridMultilevel"/>
    <w:tmpl w:val="CBD2D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81E94"/>
    <w:multiLevelType w:val="hybridMultilevel"/>
    <w:tmpl w:val="63485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D6FAA"/>
    <w:multiLevelType w:val="hybridMultilevel"/>
    <w:tmpl w:val="46AC8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55B92"/>
    <w:multiLevelType w:val="hybridMultilevel"/>
    <w:tmpl w:val="87BA79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577CC"/>
    <w:multiLevelType w:val="hybridMultilevel"/>
    <w:tmpl w:val="4D2C0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CF"/>
    <w:rsid w:val="000058CF"/>
    <w:rsid w:val="001E7187"/>
    <w:rsid w:val="003262D2"/>
    <w:rsid w:val="006259CF"/>
    <w:rsid w:val="006D27BC"/>
    <w:rsid w:val="00707E3F"/>
    <w:rsid w:val="00725F22"/>
    <w:rsid w:val="007759CB"/>
    <w:rsid w:val="00851B3F"/>
    <w:rsid w:val="008E3A63"/>
    <w:rsid w:val="009F7EE8"/>
    <w:rsid w:val="00A54D3C"/>
    <w:rsid w:val="00AB097E"/>
    <w:rsid w:val="00B55311"/>
    <w:rsid w:val="00BC6627"/>
    <w:rsid w:val="00C415D8"/>
    <w:rsid w:val="00CB0682"/>
    <w:rsid w:val="00DE4024"/>
    <w:rsid w:val="00E669EE"/>
    <w:rsid w:val="00F4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F9CA94"/>
  <w15:chartTrackingRefBased/>
  <w15:docId w15:val="{4AF4D2AB-2CC6-40B7-A5CC-937C2655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9F7EE8"/>
    <w:rPr>
      <w:color w:val="0000FF"/>
      <w:u w:val="single"/>
    </w:rPr>
  </w:style>
  <w:style w:type="character" w:styleId="FootnoteReference">
    <w:name w:val="footnote reference"/>
    <w:uiPriority w:val="99"/>
    <w:rsid w:val="009F7EE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F7EE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7EE8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25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187"/>
  </w:style>
  <w:style w:type="paragraph" w:styleId="Footer">
    <w:name w:val="footer"/>
    <w:basedOn w:val="Normal"/>
    <w:link w:val="FooterChar"/>
    <w:uiPriority w:val="99"/>
    <w:unhideWhenUsed/>
    <w:rsid w:val="001E71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Donaldson</dc:creator>
  <cp:keywords/>
  <dc:description/>
  <cp:lastModifiedBy>Ann Donaldson</cp:lastModifiedBy>
  <cp:revision>3</cp:revision>
  <dcterms:created xsi:type="dcterms:W3CDTF">2018-03-02T15:06:00Z</dcterms:created>
  <dcterms:modified xsi:type="dcterms:W3CDTF">2018-03-02T15:11:00Z</dcterms:modified>
</cp:coreProperties>
</file>