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D34B0" w14:textId="2D9DB5A4" w:rsidR="0048083C" w:rsidRPr="00D231DD" w:rsidRDefault="0048083C" w:rsidP="00D231DD">
      <w:pPr>
        <w:pStyle w:val="Heading1"/>
        <w:jc w:val="center"/>
        <w:rPr>
          <w:color w:val="auto"/>
        </w:rPr>
      </w:pPr>
      <w:r w:rsidRPr="00D231DD">
        <w:rPr>
          <w:color w:val="auto"/>
        </w:rPr>
        <w:t>Strathclyde Law School</w:t>
      </w:r>
    </w:p>
    <w:p w14:paraId="6150FE4B" w14:textId="289A1ACC" w:rsidR="0048083C" w:rsidRPr="00D231DD" w:rsidRDefault="0048083C" w:rsidP="00D231DD">
      <w:pPr>
        <w:pStyle w:val="Heading2"/>
        <w:jc w:val="center"/>
        <w:rPr>
          <w:rFonts w:asciiTheme="majorHAnsi" w:hAnsiTheme="majorHAnsi" w:cstheme="majorHAnsi"/>
        </w:rPr>
      </w:pPr>
      <w:r w:rsidRPr="00D231DD">
        <w:rPr>
          <w:rFonts w:asciiTheme="majorHAnsi" w:hAnsiTheme="majorHAnsi" w:cstheme="majorHAnsi"/>
        </w:rPr>
        <w:t>Research Strategy 2021-2027</w:t>
      </w:r>
    </w:p>
    <w:p w14:paraId="203A1768" w14:textId="6FA0A9A6" w:rsidR="0048083C" w:rsidRDefault="0048083C"/>
    <w:p w14:paraId="01994057" w14:textId="174B017A" w:rsidR="0048083C" w:rsidRPr="00FB5C67" w:rsidRDefault="0048083C" w:rsidP="00D231DD">
      <w:pPr>
        <w:pStyle w:val="Heading3"/>
        <w:rPr>
          <w:b w:val="0"/>
        </w:rPr>
      </w:pPr>
      <w:r w:rsidRPr="00FB5C67">
        <w:t>Ambition</w:t>
      </w:r>
    </w:p>
    <w:p w14:paraId="3384549A" w14:textId="1DAA7E0F" w:rsidR="0048083C" w:rsidRDefault="0048083C"/>
    <w:p w14:paraId="30B2CE81" w14:textId="3ACA2AC6" w:rsidR="00FB5C67" w:rsidRPr="00E571F0" w:rsidRDefault="00FB5C67">
      <w:pPr>
        <w:rPr>
          <w:color w:val="000000" w:themeColor="text1"/>
        </w:rPr>
      </w:pPr>
      <w:r w:rsidRPr="00E571F0">
        <w:rPr>
          <w:color w:val="000000" w:themeColor="text1"/>
        </w:rPr>
        <w:t xml:space="preserve">Strathclyde Law School has, in its </w:t>
      </w:r>
      <w:proofErr w:type="gramStart"/>
      <w:r w:rsidRPr="00E571F0">
        <w:rPr>
          <w:color w:val="000000" w:themeColor="text1"/>
        </w:rPr>
        <w:t>60 year</w:t>
      </w:r>
      <w:proofErr w:type="gramEnd"/>
      <w:r w:rsidRPr="00E571F0">
        <w:rPr>
          <w:color w:val="000000" w:themeColor="text1"/>
        </w:rPr>
        <w:t xml:space="preserve"> history, established and consolidated its reputation for research excellence in Scots</w:t>
      </w:r>
      <w:r w:rsidR="007C6469" w:rsidRPr="00E571F0">
        <w:rPr>
          <w:color w:val="000000" w:themeColor="text1"/>
        </w:rPr>
        <w:t>, English, International and European legal scholarship</w:t>
      </w:r>
      <w:r w:rsidRPr="00E571F0">
        <w:rPr>
          <w:color w:val="000000" w:themeColor="text1"/>
        </w:rPr>
        <w:t>. Research in the School is closely aligned with the University mission to be ‘a place of useful learning’</w:t>
      </w:r>
      <w:r w:rsidR="008B38DB" w:rsidRPr="00E571F0">
        <w:rPr>
          <w:color w:val="000000" w:themeColor="text1"/>
        </w:rPr>
        <w:t xml:space="preserve"> and the School is proud of its collegiate spirit and track record of attracting and growing talented researchers</w:t>
      </w:r>
      <w:r w:rsidRPr="00E571F0">
        <w:rPr>
          <w:color w:val="000000" w:themeColor="text1"/>
        </w:rPr>
        <w:t xml:space="preserve">. The School was particularly successful in impact in REF2014 and has strengthened its capacity for the highest quality levels of research and impact </w:t>
      </w:r>
      <w:r w:rsidR="007826F4" w:rsidRPr="00E571F0">
        <w:rPr>
          <w:color w:val="000000" w:themeColor="text1"/>
        </w:rPr>
        <w:t>in its work towards</w:t>
      </w:r>
      <w:r w:rsidRPr="00E571F0">
        <w:rPr>
          <w:color w:val="000000" w:themeColor="text1"/>
        </w:rPr>
        <w:t xml:space="preserve"> REF2021.</w:t>
      </w:r>
    </w:p>
    <w:p w14:paraId="435BB97D" w14:textId="30E7CEBF" w:rsidR="00FB5C67" w:rsidRDefault="00FB5C67"/>
    <w:p w14:paraId="1B19B72C" w14:textId="631D42DE" w:rsidR="0048083C" w:rsidRDefault="00FB5C67">
      <w:pPr>
        <w:rPr>
          <w:u w:val="single"/>
        </w:rPr>
      </w:pPr>
      <w:r>
        <w:t>This research strategy is designed to guide Strathclyde’s ambition to strengthen research capacity and its reputation</w:t>
      </w:r>
      <w:r w:rsidR="00402ED5">
        <w:t>, whilst being fully in line with University policies and Key Performance Indicators (KPI)</w:t>
      </w:r>
      <w:r>
        <w:t>.</w:t>
      </w:r>
      <w:r w:rsidR="00402ED5">
        <w:t xml:space="preserve"> </w:t>
      </w:r>
      <w:r>
        <w:t xml:space="preserve">The Law School aims to be recognised in future REF exercises and league tables as a </w:t>
      </w:r>
      <w:r w:rsidRPr="00FB5C67">
        <w:rPr>
          <w:u w:val="single"/>
        </w:rPr>
        <w:t>Top 20 UK research-led Law School</w:t>
      </w:r>
      <w:r>
        <w:t xml:space="preserve"> and </w:t>
      </w:r>
      <w:r w:rsidRPr="00FB5C67">
        <w:rPr>
          <w:u w:val="single"/>
        </w:rPr>
        <w:t>Top 3 in Scotland.</w:t>
      </w:r>
    </w:p>
    <w:p w14:paraId="1B6EA474" w14:textId="7EA7C0FE" w:rsidR="0048083C" w:rsidRDefault="0048083C"/>
    <w:p w14:paraId="04A3BBB9" w14:textId="17D1ECD3" w:rsidR="0048083C" w:rsidRPr="00FB5C67" w:rsidRDefault="0098409B" w:rsidP="00D231DD">
      <w:pPr>
        <w:pStyle w:val="Heading3"/>
        <w:rPr>
          <w:b w:val="0"/>
        </w:rPr>
      </w:pPr>
      <w:r>
        <w:t>Strategic goals</w:t>
      </w:r>
      <w:r w:rsidRPr="00FB5C67">
        <w:t xml:space="preserve"> </w:t>
      </w:r>
      <w:r w:rsidR="00FB5C67" w:rsidRPr="00FB5C67">
        <w:t>for the period 2021-2027</w:t>
      </w:r>
    </w:p>
    <w:p w14:paraId="2B270BAB" w14:textId="13F778F7" w:rsidR="0048083C" w:rsidRDefault="0048083C"/>
    <w:p w14:paraId="17E8470B" w14:textId="49473A7A" w:rsidR="0048083C" w:rsidRDefault="00FB5C67" w:rsidP="008953AB">
      <w:pPr>
        <w:pStyle w:val="ListParagraph"/>
        <w:numPr>
          <w:ilvl w:val="0"/>
          <w:numId w:val="7"/>
        </w:numPr>
      </w:pPr>
      <w:r>
        <w:t>To build on the School’s international reputation for research</w:t>
      </w:r>
      <w:r w:rsidR="002710A3">
        <w:t xml:space="preserve"> and strengthen the ability of staff to publish at the highest levels of international scholarship</w:t>
      </w:r>
      <w:r w:rsidR="007A276F">
        <w:t>.</w:t>
      </w:r>
    </w:p>
    <w:p w14:paraId="41E5FF04" w14:textId="4C9B2CE4" w:rsidR="00FB5C67" w:rsidRDefault="00FB5C67" w:rsidP="008953AB">
      <w:pPr>
        <w:pStyle w:val="ListParagraph"/>
        <w:numPr>
          <w:ilvl w:val="0"/>
          <w:numId w:val="7"/>
        </w:numPr>
      </w:pPr>
      <w:r>
        <w:t xml:space="preserve">To increase the involvement of the School in major, University-led research grant applications, in line with </w:t>
      </w:r>
      <w:r w:rsidR="006C0BC3">
        <w:t xml:space="preserve">Vision 2025, </w:t>
      </w:r>
      <w:r>
        <w:t>the Reid Report Recommendations (2020)</w:t>
      </w:r>
      <w:r w:rsidR="002710A3">
        <w:t xml:space="preserve"> and increase individual and collaborative success in grant capture</w:t>
      </w:r>
      <w:r w:rsidR="007A276F">
        <w:t>.</w:t>
      </w:r>
    </w:p>
    <w:p w14:paraId="09570E30" w14:textId="7816071C" w:rsidR="00FB5C67" w:rsidRDefault="00FB5C67" w:rsidP="008953AB">
      <w:pPr>
        <w:pStyle w:val="ListParagraph"/>
        <w:numPr>
          <w:ilvl w:val="0"/>
          <w:numId w:val="7"/>
        </w:numPr>
      </w:pPr>
      <w:r>
        <w:t xml:space="preserve">To consolidate the School’s impact and </w:t>
      </w:r>
      <w:r w:rsidR="002710A3">
        <w:t xml:space="preserve">KE </w:t>
      </w:r>
      <w:r w:rsidR="00294948">
        <w:t xml:space="preserve">capacity, </w:t>
      </w:r>
      <w:proofErr w:type="gramStart"/>
      <w:r w:rsidR="002710A3">
        <w:t>experience</w:t>
      </w:r>
      <w:proofErr w:type="gramEnd"/>
      <w:r w:rsidR="002710A3">
        <w:t xml:space="preserve"> and expertise, and ensure success is recognised at an individual and institutional level</w:t>
      </w:r>
      <w:r w:rsidR="007A276F">
        <w:t>.</w:t>
      </w:r>
    </w:p>
    <w:p w14:paraId="358C94D1" w14:textId="6EC24235" w:rsidR="005A4F72" w:rsidRDefault="002710A3" w:rsidP="008953AB">
      <w:pPr>
        <w:pStyle w:val="ListParagraph"/>
        <w:numPr>
          <w:ilvl w:val="0"/>
          <w:numId w:val="7"/>
        </w:numPr>
      </w:pPr>
      <w:r w:rsidRPr="007A276F">
        <w:t>To continue to support an inclusive research culture in the School and enhance relationships with parts of the University that support research</w:t>
      </w:r>
      <w:r w:rsidR="007A276F" w:rsidRPr="007A276F">
        <w:t>.</w:t>
      </w:r>
    </w:p>
    <w:p w14:paraId="2D72D68D" w14:textId="3F791F59" w:rsidR="007A276F" w:rsidRDefault="007A276F" w:rsidP="008953AB">
      <w:pPr>
        <w:pStyle w:val="ListParagraph"/>
        <w:numPr>
          <w:ilvl w:val="0"/>
          <w:numId w:val="7"/>
        </w:numPr>
      </w:pPr>
      <w:r>
        <w:t xml:space="preserve">To recognise and enhance the synergies that exist between high quality teaching and </w:t>
      </w:r>
      <w:proofErr w:type="gramStart"/>
      <w:r>
        <w:t>research, and</w:t>
      </w:r>
      <w:proofErr w:type="gramEnd"/>
      <w:r>
        <w:t xml:space="preserve"> ensure that opportunities for all job families in the School are maximised in line with our commitment to research excellence.</w:t>
      </w:r>
    </w:p>
    <w:p w14:paraId="4A2C5CA3" w14:textId="11857E34" w:rsidR="00703358" w:rsidRDefault="00703358" w:rsidP="008953AB">
      <w:pPr>
        <w:pStyle w:val="ListParagraph"/>
        <w:numPr>
          <w:ilvl w:val="0"/>
          <w:numId w:val="7"/>
        </w:numPr>
      </w:pPr>
      <w:r w:rsidRPr="007A276F">
        <w:t>To grow the number of high-quality PGR students in the School</w:t>
      </w:r>
      <w:r w:rsidR="00294948" w:rsidRPr="007A276F">
        <w:t xml:space="preserve">, </w:t>
      </w:r>
      <w:r w:rsidRPr="007A276F">
        <w:t>ensure timely</w:t>
      </w:r>
      <w:r>
        <w:t xml:space="preserve"> completion of PGR research students</w:t>
      </w:r>
      <w:r w:rsidR="00294948">
        <w:t xml:space="preserve"> and continue to foster a supportive and collegiate environment for PGR students as future researchers.</w:t>
      </w:r>
    </w:p>
    <w:p w14:paraId="4B44C868" w14:textId="28C90989" w:rsidR="0048083C" w:rsidRDefault="0048083C"/>
    <w:p w14:paraId="437F98BF" w14:textId="53A962AF" w:rsidR="0048083C" w:rsidRPr="00FB5C67" w:rsidRDefault="0048083C" w:rsidP="00D231DD">
      <w:pPr>
        <w:pStyle w:val="Heading3"/>
        <w:rPr>
          <w:b w:val="0"/>
        </w:rPr>
      </w:pPr>
      <w:r w:rsidRPr="00FB5C67">
        <w:t xml:space="preserve">Operation </w:t>
      </w:r>
    </w:p>
    <w:p w14:paraId="7A15D81C" w14:textId="0B4A5F8C" w:rsidR="0048083C" w:rsidRDefault="0048083C"/>
    <w:p w14:paraId="3F40299E" w14:textId="5D99F6D2" w:rsidR="002F7464" w:rsidRDefault="002F7464">
      <w:r>
        <w:t>The responsibility for research in the School lies with the Research Director and Deputy Research Director, as appointed by the Head of School</w:t>
      </w:r>
      <w:r w:rsidR="004431E8">
        <w:t>, and the Research Committee</w:t>
      </w:r>
      <w:r w:rsidR="007826F4">
        <w:t xml:space="preserve"> (or Research Team)</w:t>
      </w:r>
      <w:r>
        <w:t>. A separate coordinator for the REF process may also be appointed. The School Director for Operations and Policy, the Director of Planning, the Director and Deputy Directors for Knowledge Exchange, Director</w:t>
      </w:r>
      <w:r w:rsidR="00220F4D">
        <w:t xml:space="preserve">(s) </w:t>
      </w:r>
      <w:r>
        <w:t xml:space="preserve">for Postgraduate Research, </w:t>
      </w:r>
      <w:r w:rsidR="007B6698">
        <w:t xml:space="preserve">Directors and Deputy Directors of Research Centres, </w:t>
      </w:r>
      <w:r>
        <w:t xml:space="preserve">the Director of Internationalisation, the Ethics Convenor and the Library Representative are also be responsible for the development and </w:t>
      </w:r>
      <w:r>
        <w:lastRenderedPageBreak/>
        <w:t xml:space="preserve">implementation of research policy and practice in the </w:t>
      </w:r>
      <w:proofErr w:type="gramStart"/>
      <w:r>
        <w:t>School</w:t>
      </w:r>
      <w:r w:rsidR="007D18A0">
        <w:t>, and</w:t>
      </w:r>
      <w:proofErr w:type="gramEnd"/>
      <w:r w:rsidR="007D18A0">
        <w:t xml:space="preserve"> ensuring compliance with Vision 2025 and University KPIs</w:t>
      </w:r>
      <w:r>
        <w:t>.</w:t>
      </w:r>
      <w:r w:rsidR="00B4059B">
        <w:t xml:space="preserve"> All th</w:t>
      </w:r>
      <w:r w:rsidR="00FB5C67">
        <w:t>e</w:t>
      </w:r>
      <w:r w:rsidR="00B4059B">
        <w:t>se roles have established terms of reference and responsibility. Appointments will usually be made for a 3</w:t>
      </w:r>
      <w:r w:rsidR="002710A3">
        <w:t>-</w:t>
      </w:r>
      <w:r w:rsidR="00B4059B">
        <w:t>year term by the Head of School.</w:t>
      </w:r>
    </w:p>
    <w:p w14:paraId="45F39994" w14:textId="2D5795A3" w:rsidR="002F7464" w:rsidRDefault="002F7464"/>
    <w:p w14:paraId="14146403" w14:textId="18ADCCB8" w:rsidR="002F7464" w:rsidRDefault="002F7464">
      <w:r>
        <w:t>Research is supported by University (</w:t>
      </w:r>
      <w:r w:rsidR="004431E8">
        <w:t>RKES</w:t>
      </w:r>
      <w:r>
        <w:t>) and HaSS (</w:t>
      </w:r>
      <w:proofErr w:type="spellStart"/>
      <w:r w:rsidR="00220F4D">
        <w:t>RaKET</w:t>
      </w:r>
      <w:proofErr w:type="spellEnd"/>
      <w:r>
        <w:t>) services. The School will build links with staff in post in both, such as the PURE team, the Faculty editor,</w:t>
      </w:r>
      <w:r w:rsidR="00B4059B">
        <w:t xml:space="preserve"> the </w:t>
      </w:r>
      <w:proofErr w:type="gramStart"/>
      <w:r w:rsidR="00B4059B">
        <w:t>library</w:t>
      </w:r>
      <w:proofErr w:type="gramEnd"/>
      <w:r w:rsidR="00B4059B">
        <w:t xml:space="preserve"> and Open Access teams</w:t>
      </w:r>
      <w:r>
        <w:t xml:space="preserve"> in order to make full use of</w:t>
      </w:r>
      <w:r w:rsidR="00B4059B">
        <w:t xml:space="preserve"> services. The School will enhance working relationships to ensure that, inter alia, funding opportunities are shared widely and the process for bidding for grants is clear and transparent.</w:t>
      </w:r>
    </w:p>
    <w:p w14:paraId="746A72B9" w14:textId="32C0262F" w:rsidR="00B4059B" w:rsidRDefault="00B4059B"/>
    <w:p w14:paraId="1085A009" w14:textId="0AD38689" w:rsidR="00B4059B" w:rsidRDefault="00B4059B">
      <w:r>
        <w:t>The School aims to grow its support for research, including obtaining funding, post-funding support and dissemination of research activities and publications, via enhanced administrative support.</w:t>
      </w:r>
    </w:p>
    <w:p w14:paraId="59A4C8F8" w14:textId="21BEA51E" w:rsidR="0048083C" w:rsidRDefault="0048083C"/>
    <w:p w14:paraId="48ECA2FF" w14:textId="612F261C" w:rsidR="0048083C" w:rsidRPr="00FB5C67" w:rsidRDefault="0048083C" w:rsidP="00D231DD">
      <w:pPr>
        <w:pStyle w:val="Heading3"/>
        <w:rPr>
          <w:b w:val="0"/>
        </w:rPr>
      </w:pPr>
      <w:r w:rsidRPr="00FB5C67">
        <w:t>Research centres</w:t>
      </w:r>
    </w:p>
    <w:p w14:paraId="68D5E4F3" w14:textId="70BD23E1" w:rsidR="0048083C" w:rsidRDefault="0048083C"/>
    <w:p w14:paraId="23165445" w14:textId="22B45EDE" w:rsidR="0048083C" w:rsidRDefault="00B4059B">
      <w:r>
        <w:t xml:space="preserve">The School supports research centres as a crucial part of </w:t>
      </w:r>
      <w:r w:rsidR="007B6698">
        <w:t>bringing together researchers for collaborative work, to support funding bids and to create specific identifies that contribute to the School’s headline mission for research excellence.</w:t>
      </w:r>
      <w:r w:rsidR="00294948">
        <w:t xml:space="preserve"> The School recognises that research centres are centres of expertise, which also have an important role in teaching, KE and outreach work, and are part of the School’s identity.</w:t>
      </w:r>
    </w:p>
    <w:p w14:paraId="2CCE9516" w14:textId="0C3A32C1" w:rsidR="007B6698" w:rsidRDefault="007B6698"/>
    <w:p w14:paraId="2FB9CDB6" w14:textId="087D1AD5" w:rsidR="007B6698" w:rsidRDefault="007B6698">
      <w:r>
        <w:t>The current research centres in the School are:</w:t>
      </w:r>
    </w:p>
    <w:p w14:paraId="427B2409" w14:textId="7145F0A4" w:rsidR="007B6698" w:rsidRDefault="007B6698"/>
    <w:p w14:paraId="5CF10DE8" w14:textId="39D0D719" w:rsidR="002710A3" w:rsidRPr="002710A3" w:rsidRDefault="00766A16" w:rsidP="002710A3">
      <w:pPr>
        <w:numPr>
          <w:ilvl w:val="0"/>
          <w:numId w:val="2"/>
        </w:numPr>
      </w:pPr>
      <w:hyperlink r:id="rId8" w:history="1">
        <w:r w:rsidR="002710A3" w:rsidRPr="002710A3">
          <w:rPr>
            <w:rStyle w:val="Hyperlink"/>
          </w:rPr>
          <w:t>Centre for the Study of Human Rights Law</w:t>
        </w:r>
      </w:hyperlink>
      <w:r w:rsidR="00294948">
        <w:rPr>
          <w:rStyle w:val="Hyperlink"/>
        </w:rPr>
        <w:t xml:space="preserve"> (CSHRL)</w:t>
      </w:r>
    </w:p>
    <w:p w14:paraId="26AF5579" w14:textId="61E542D8" w:rsidR="002710A3" w:rsidRPr="002710A3" w:rsidRDefault="00766A16" w:rsidP="002710A3">
      <w:pPr>
        <w:numPr>
          <w:ilvl w:val="0"/>
          <w:numId w:val="2"/>
        </w:numPr>
      </w:pPr>
      <w:hyperlink r:id="rId9" w:history="1">
        <w:r w:rsidR="002710A3" w:rsidRPr="002710A3">
          <w:rPr>
            <w:rStyle w:val="Hyperlink"/>
          </w:rPr>
          <w:t>Centre for Law, Crime &amp; Justice</w:t>
        </w:r>
      </w:hyperlink>
      <w:r w:rsidR="00294948">
        <w:rPr>
          <w:rStyle w:val="Hyperlink"/>
        </w:rPr>
        <w:t xml:space="preserve"> (CLCJ)</w:t>
      </w:r>
    </w:p>
    <w:p w14:paraId="49E5BD9E" w14:textId="79D80BFB" w:rsidR="002710A3" w:rsidRPr="002710A3" w:rsidRDefault="00766A16" w:rsidP="002710A3">
      <w:pPr>
        <w:numPr>
          <w:ilvl w:val="0"/>
          <w:numId w:val="2"/>
        </w:numPr>
      </w:pPr>
      <w:hyperlink r:id="rId10" w:history="1">
        <w:r w:rsidR="002710A3" w:rsidRPr="002710A3">
          <w:rPr>
            <w:rStyle w:val="Hyperlink"/>
          </w:rPr>
          <w:t>Centre for Professional Legal Studies</w:t>
        </w:r>
      </w:hyperlink>
      <w:r w:rsidR="00294948">
        <w:rPr>
          <w:rStyle w:val="Hyperlink"/>
        </w:rPr>
        <w:t xml:space="preserve"> (CPLS)</w:t>
      </w:r>
    </w:p>
    <w:p w14:paraId="0DA842C0" w14:textId="3FF4CC52" w:rsidR="002710A3" w:rsidRPr="002710A3" w:rsidRDefault="00766A16" w:rsidP="002710A3">
      <w:pPr>
        <w:numPr>
          <w:ilvl w:val="0"/>
          <w:numId w:val="2"/>
        </w:numPr>
      </w:pPr>
      <w:hyperlink r:id="rId11" w:history="1">
        <w:r w:rsidR="002710A3" w:rsidRPr="002710A3">
          <w:rPr>
            <w:rStyle w:val="Hyperlink"/>
          </w:rPr>
          <w:t>Centre for Internet Law &amp; Policy</w:t>
        </w:r>
      </w:hyperlink>
      <w:r w:rsidR="00294948">
        <w:rPr>
          <w:rStyle w:val="Hyperlink"/>
        </w:rPr>
        <w:t xml:space="preserve"> (CILP)</w:t>
      </w:r>
    </w:p>
    <w:p w14:paraId="110488F7" w14:textId="77777777" w:rsidR="00294948" w:rsidRDefault="00766A16" w:rsidP="00294948">
      <w:pPr>
        <w:numPr>
          <w:ilvl w:val="0"/>
          <w:numId w:val="2"/>
        </w:numPr>
      </w:pPr>
      <w:hyperlink r:id="rId12" w:history="1">
        <w:r w:rsidR="002710A3" w:rsidRPr="002710A3">
          <w:rPr>
            <w:rStyle w:val="Hyperlink"/>
          </w:rPr>
          <w:t>Strathclyde Centre for Antitrust Law and Empirical Study</w:t>
        </w:r>
      </w:hyperlink>
      <w:r w:rsidR="00294948">
        <w:rPr>
          <w:rStyle w:val="Hyperlink"/>
        </w:rPr>
        <w:t xml:space="preserve"> (SCALES)</w:t>
      </w:r>
    </w:p>
    <w:p w14:paraId="232DC4C2" w14:textId="0CE13132" w:rsidR="002710A3" w:rsidRDefault="00766A16" w:rsidP="00294948">
      <w:pPr>
        <w:numPr>
          <w:ilvl w:val="0"/>
          <w:numId w:val="2"/>
        </w:numPr>
      </w:pPr>
      <w:hyperlink r:id="rId13" w:history="1">
        <w:r w:rsidR="007A276F">
          <w:rPr>
            <w:rStyle w:val="Hyperlink"/>
          </w:rPr>
          <w:t>Strathclyde C</w:t>
        </w:r>
        <w:r w:rsidR="00294948" w:rsidRPr="002710A3">
          <w:rPr>
            <w:rStyle w:val="Hyperlink"/>
          </w:rPr>
          <w:t>entre for Environmental Law &amp; Governance</w:t>
        </w:r>
      </w:hyperlink>
      <w:r w:rsidR="00294948">
        <w:rPr>
          <w:rStyle w:val="Hyperlink"/>
        </w:rPr>
        <w:t xml:space="preserve"> (SCELG)</w:t>
      </w:r>
    </w:p>
    <w:p w14:paraId="04B55BD6" w14:textId="3C90DBC9" w:rsidR="007B6698" w:rsidRDefault="007B6698"/>
    <w:p w14:paraId="0060E6BE" w14:textId="2E93FA45" w:rsidR="007B6698" w:rsidRDefault="007B6698">
      <w:r>
        <w:t xml:space="preserve">Staff, both in and </w:t>
      </w:r>
      <w:proofErr w:type="spellStart"/>
      <w:r>
        <w:t>outwith</w:t>
      </w:r>
      <w:proofErr w:type="spellEnd"/>
      <w:r>
        <w:t xml:space="preserve"> the Law School, may belong to one or more research centres, or not. Membership of research centre(s) has no bearing on the allocation of individual research funding in the School. </w:t>
      </w:r>
    </w:p>
    <w:p w14:paraId="7DF4F8B6" w14:textId="77777777" w:rsidR="002710A3" w:rsidRDefault="002710A3"/>
    <w:p w14:paraId="36668738" w14:textId="228FA67A" w:rsidR="007B6698" w:rsidRDefault="007B6698">
      <w:r>
        <w:t xml:space="preserve">Research centres will publish their own plans for development, their membership (including PGR students) and plans to obtain funding, with a view to being self-sustaining. </w:t>
      </w:r>
      <w:r w:rsidRPr="007A276F">
        <w:rPr>
          <w:color w:val="000000" w:themeColor="text1"/>
        </w:rPr>
        <w:t>The</w:t>
      </w:r>
      <w:r w:rsidR="007A276F" w:rsidRPr="007A276F">
        <w:rPr>
          <w:color w:val="000000" w:themeColor="text1"/>
        </w:rPr>
        <w:t xml:space="preserve"> School will set out a programme for review of research centres </w:t>
      </w:r>
      <w:r w:rsidRPr="007A276F">
        <w:rPr>
          <w:color w:val="000000" w:themeColor="text1"/>
        </w:rPr>
        <w:t>every 3-4 years</w:t>
      </w:r>
      <w:r w:rsidR="00402ED5" w:rsidRPr="007A276F">
        <w:rPr>
          <w:color w:val="000000" w:themeColor="text1"/>
        </w:rPr>
        <w:t>. Reviews should involve external reviewer(s) from outside the School and/or University,</w:t>
      </w:r>
      <w:r w:rsidRPr="007A276F">
        <w:rPr>
          <w:color w:val="000000" w:themeColor="text1"/>
        </w:rPr>
        <w:t xml:space="preserve"> to ensure that the </w:t>
      </w:r>
      <w:r w:rsidR="00402ED5" w:rsidRPr="007A276F">
        <w:rPr>
          <w:color w:val="000000" w:themeColor="text1"/>
        </w:rPr>
        <w:t xml:space="preserve">Centres </w:t>
      </w:r>
      <w:r w:rsidR="006C019E" w:rsidRPr="007A276F">
        <w:rPr>
          <w:color w:val="000000" w:themeColor="text1"/>
        </w:rPr>
        <w:t xml:space="preserve">are operating </w:t>
      </w:r>
      <w:r w:rsidRPr="007A276F">
        <w:rPr>
          <w:color w:val="000000" w:themeColor="text1"/>
        </w:rPr>
        <w:t xml:space="preserve">within the School’s research mission and have a continued presence and identity in the School, </w:t>
      </w:r>
      <w:proofErr w:type="gramStart"/>
      <w:r w:rsidRPr="007A276F">
        <w:rPr>
          <w:color w:val="000000" w:themeColor="text1"/>
        </w:rPr>
        <w:t>University</w:t>
      </w:r>
      <w:proofErr w:type="gramEnd"/>
      <w:r w:rsidRPr="007A276F">
        <w:rPr>
          <w:color w:val="000000" w:themeColor="text1"/>
        </w:rPr>
        <w:t xml:space="preserve"> and wider research or KE communities.</w:t>
      </w:r>
      <w:r>
        <w:t xml:space="preserve"> Research centres should pay particular attention to </w:t>
      </w:r>
      <w:r w:rsidR="00402ED5">
        <w:t xml:space="preserve">involving </w:t>
      </w:r>
      <w:r>
        <w:t xml:space="preserve">members </w:t>
      </w:r>
      <w:proofErr w:type="spellStart"/>
      <w:r>
        <w:t>outwith</w:t>
      </w:r>
      <w:proofErr w:type="spellEnd"/>
      <w:r>
        <w:t xml:space="preserve"> the school, whether academic members at Strathclyde or other institutions, or in society, </w:t>
      </w:r>
      <w:proofErr w:type="gramStart"/>
      <w:r>
        <w:t>business</w:t>
      </w:r>
      <w:proofErr w:type="gramEnd"/>
      <w:r>
        <w:t xml:space="preserve"> or scientific communities. Research centres are one of the main ways in which the School, in line with the Reid Recommendations, can lead or be integrated in large-scale funding bids across the University.</w:t>
      </w:r>
    </w:p>
    <w:p w14:paraId="364CD0B4" w14:textId="3BEF5705" w:rsidR="007B6698" w:rsidRDefault="007B6698"/>
    <w:p w14:paraId="67EA20A6" w14:textId="276F087B" w:rsidR="007B6698" w:rsidRDefault="007B6698">
      <w:r>
        <w:lastRenderedPageBreak/>
        <w:t>Proposals for new research centres will be considered by the School. New research centres must ensure that they are able to support an appropriate number of core staff (to ensure continuity if a member of staff leaves)</w:t>
      </w:r>
      <w:r w:rsidR="004A3C92">
        <w:t>.</w:t>
      </w:r>
    </w:p>
    <w:p w14:paraId="134033E5" w14:textId="21139004" w:rsidR="0048083C" w:rsidRDefault="0048083C"/>
    <w:p w14:paraId="0688A94C" w14:textId="63F1E31C" w:rsidR="0048083C" w:rsidRPr="00FB5C67" w:rsidRDefault="0048083C" w:rsidP="00D231DD">
      <w:pPr>
        <w:pStyle w:val="Heading3"/>
        <w:rPr>
          <w:b w:val="0"/>
        </w:rPr>
      </w:pPr>
      <w:r w:rsidRPr="00FB5C67">
        <w:t>Staffing</w:t>
      </w:r>
    </w:p>
    <w:p w14:paraId="51A2A7E0" w14:textId="680F1C22" w:rsidR="0048083C" w:rsidRDefault="0048083C"/>
    <w:p w14:paraId="26B72370" w14:textId="7CFCBB0A" w:rsidR="0048083C" w:rsidRDefault="0048083C">
      <w:r>
        <w:t>29 members of staff were entered for REF2021. The School aims to grow its proportion of research-active staff, by supporting colleagues who wish to transfer from teaching track to research track contracts, in line with University guidance.</w:t>
      </w:r>
    </w:p>
    <w:p w14:paraId="06A06672" w14:textId="5286E7F9" w:rsidR="0048083C" w:rsidRDefault="0048083C"/>
    <w:p w14:paraId="5B8E6A17" w14:textId="31255E57" w:rsidR="00FC37ED" w:rsidRDefault="0048083C">
      <w:r>
        <w:t xml:space="preserve">The School will continue </w:t>
      </w:r>
      <w:r w:rsidR="007826F4">
        <w:t xml:space="preserve">to </w:t>
      </w:r>
      <w:r>
        <w:t xml:space="preserve">make use of University-funded opportunities, including Chancellors’ Fellows and the Global Talent </w:t>
      </w:r>
      <w:r w:rsidR="00FC37ED">
        <w:t>scheme, to boost research expertise in new and existing areas. In line with the recommendations of the Reid Review, the School will pursue interdisciplinary appointments where appropriate to form sustained links with other departments and Faculties across the University.</w:t>
      </w:r>
      <w:r w:rsidR="009952D4">
        <w:t xml:space="preserve"> </w:t>
      </w:r>
    </w:p>
    <w:p w14:paraId="77E26B44" w14:textId="77777777" w:rsidR="00FC37ED" w:rsidRDefault="00FC37ED"/>
    <w:p w14:paraId="67A048DD" w14:textId="7C03700A" w:rsidR="002F7464" w:rsidRDefault="00FC37ED">
      <w:r>
        <w:t xml:space="preserve">The School recognises that teaching-only appointments are </w:t>
      </w:r>
      <w:r w:rsidR="009952D4">
        <w:t xml:space="preserve">desirable </w:t>
      </w:r>
      <w:r>
        <w:t>to ensure appropriate staffing levels for our UG and PG teaching programmes</w:t>
      </w:r>
      <w:r w:rsidR="009952D4">
        <w:t>, and to support teaching as a career pathway</w:t>
      </w:r>
      <w:r>
        <w:t xml:space="preserve">. </w:t>
      </w:r>
      <w:r w:rsidR="009952D4">
        <w:t xml:space="preserve">Teaching-only </w:t>
      </w:r>
      <w:r>
        <w:t xml:space="preserve">appointments are often in core teaching areas where other experience (for example, in legal practice) is relevant and </w:t>
      </w:r>
      <w:r w:rsidR="002F7464">
        <w:t xml:space="preserve">there are fewer candidates with extensive research expertise. The School will </w:t>
      </w:r>
      <w:r w:rsidR="0062641C">
        <w:t>continue to make</w:t>
      </w:r>
      <w:r w:rsidR="002F7464">
        <w:t xml:space="preserve"> </w:t>
      </w:r>
      <w:r w:rsidR="0062641C">
        <w:t>such</w:t>
      </w:r>
      <w:r w:rsidR="002F7464">
        <w:t xml:space="preserve"> </w:t>
      </w:r>
      <w:proofErr w:type="gramStart"/>
      <w:r w:rsidR="002F7464">
        <w:t>appointments</w:t>
      </w:r>
      <w:r w:rsidR="0062641C">
        <w:t>, and</w:t>
      </w:r>
      <w:proofErr w:type="gramEnd"/>
      <w:r w:rsidR="0062641C">
        <w:t xml:space="preserve"> consider how this will help ensure appropriate cover for research leave and buy-out via research grants.</w:t>
      </w:r>
    </w:p>
    <w:p w14:paraId="164600F7" w14:textId="169FD388" w:rsidR="009952D4" w:rsidRDefault="009952D4"/>
    <w:p w14:paraId="0C82CD0B" w14:textId="07E8235C" w:rsidR="009952D4" w:rsidRDefault="009952D4">
      <w:r w:rsidRPr="007A276F">
        <w:t xml:space="preserve">The School will continue to appoint Professors of Practice where </w:t>
      </w:r>
      <w:proofErr w:type="gramStart"/>
      <w:r w:rsidRPr="007A276F">
        <w:t>appropriate, and</w:t>
      </w:r>
      <w:proofErr w:type="gramEnd"/>
      <w:r w:rsidRPr="007A276F">
        <w:t xml:space="preserve"> use the experience of post-holders to enhance research, KE and teaching-focussed activities.</w:t>
      </w:r>
    </w:p>
    <w:p w14:paraId="3CED7FBD" w14:textId="77777777" w:rsidR="002F7464" w:rsidRDefault="002F7464"/>
    <w:p w14:paraId="397CFEDE" w14:textId="7087AAB3" w:rsidR="002F7464" w:rsidRDefault="002F7464">
      <w:r>
        <w:t>Staff across the school are encouraged to share vacancies widely within their research networks, and to suggest to the Head of School and Research Directors growth areas of scholarship where Strathclyde might wish to make future investment in research staff.</w:t>
      </w:r>
    </w:p>
    <w:p w14:paraId="1FAC7982" w14:textId="36BE3A08" w:rsidR="003A3B87" w:rsidRDefault="003A3B87"/>
    <w:p w14:paraId="3AC51B86" w14:textId="5C2BBC8C" w:rsidR="003A3B87" w:rsidRDefault="003A3B87">
      <w:r>
        <w:t xml:space="preserve">Staff in the school should identify potential academic visitors/Professors whose reputation would enhance that of the School. This might include impact-focussed appointments or where appointment would lead to entry into new networks for colleagues. Potential appointments should be raised with the Head of School in the first instance. Applications by PhD students to spend a period at Strathclyde should be raised with </w:t>
      </w:r>
      <w:r w:rsidR="006C019E">
        <w:t xml:space="preserve">the Directors of PGR, </w:t>
      </w:r>
      <w:r>
        <w:t xml:space="preserve">Head of </w:t>
      </w:r>
      <w:proofErr w:type="gramStart"/>
      <w:r>
        <w:t>School</w:t>
      </w:r>
      <w:proofErr w:type="gramEnd"/>
      <w:r w:rsidR="006C019E">
        <w:t xml:space="preserve"> and the Graduate School.</w:t>
      </w:r>
    </w:p>
    <w:p w14:paraId="5CFC0E1D" w14:textId="4CB6503E" w:rsidR="003A3B87" w:rsidRDefault="003A3B87"/>
    <w:p w14:paraId="09312EF9" w14:textId="7C925746" w:rsidR="003A3B87" w:rsidRPr="003A3B87" w:rsidRDefault="003A3B87" w:rsidP="00D231DD">
      <w:pPr>
        <w:pStyle w:val="Heading3"/>
        <w:rPr>
          <w:b w:val="0"/>
        </w:rPr>
      </w:pPr>
      <w:r w:rsidRPr="003A3B87">
        <w:t>Research culture</w:t>
      </w:r>
    </w:p>
    <w:p w14:paraId="152B1650" w14:textId="3103B489" w:rsidR="003A3B87" w:rsidRDefault="003A3B87"/>
    <w:p w14:paraId="7631AB75" w14:textId="2AEE2379" w:rsidR="003A3B87" w:rsidRDefault="003A3B87">
      <w:r>
        <w:t>Strathclyde Law School has an excellent reputation as an inclusive</w:t>
      </w:r>
      <w:r w:rsidR="0065017B">
        <w:t xml:space="preserve">, </w:t>
      </w:r>
      <w:proofErr w:type="gramStart"/>
      <w:r w:rsidR="0065017B">
        <w:t>collegiate</w:t>
      </w:r>
      <w:proofErr w:type="gramEnd"/>
      <w:r>
        <w:t xml:space="preserve"> and supportive research environment. Staff should seek to further enhance this by acting as ‘critical </w:t>
      </w:r>
      <w:proofErr w:type="gramStart"/>
      <w:r>
        <w:t>friends’</w:t>
      </w:r>
      <w:proofErr w:type="gramEnd"/>
      <w:r>
        <w:t>. This includes, inter alia, sharing drafts of articles or conference papers with colleagues</w:t>
      </w:r>
      <w:r w:rsidR="006C019E">
        <w:t xml:space="preserve"> (including their research ‘buddy’)</w:t>
      </w:r>
      <w:r>
        <w:t xml:space="preserve">, including those </w:t>
      </w:r>
      <w:proofErr w:type="spellStart"/>
      <w:r>
        <w:t>outwith</w:t>
      </w:r>
      <w:proofErr w:type="spellEnd"/>
      <w:r>
        <w:t xml:space="preserve"> their own area of research. </w:t>
      </w:r>
      <w:r w:rsidR="00220F4D" w:rsidRPr="007A276F">
        <w:t xml:space="preserve">Annual </w:t>
      </w:r>
      <w:r w:rsidR="00F830D3" w:rsidRPr="007A276F">
        <w:t>research meetings between colleagues</w:t>
      </w:r>
      <w:r w:rsidR="00F830D3">
        <w:t xml:space="preserve"> and experienced </w:t>
      </w:r>
      <w:r w:rsidR="00220F4D">
        <w:t xml:space="preserve">members of the </w:t>
      </w:r>
      <w:r w:rsidR="00F830D3">
        <w:t>research</w:t>
      </w:r>
      <w:r w:rsidR="00220F4D">
        <w:t xml:space="preserve"> team</w:t>
      </w:r>
      <w:r w:rsidR="00F830D3">
        <w:t xml:space="preserve"> are a way of ga</w:t>
      </w:r>
      <w:r w:rsidR="007D088B">
        <w:t>u</w:t>
      </w:r>
      <w:r w:rsidR="00F830D3">
        <w:t xml:space="preserve">ging the scope of contemporary research undertaken in the School, discussing ambitions, </w:t>
      </w:r>
      <w:proofErr w:type="gramStart"/>
      <w:r w:rsidR="00F830D3">
        <w:t>funding</w:t>
      </w:r>
      <w:proofErr w:type="gramEnd"/>
      <w:r w:rsidR="00F830D3">
        <w:t xml:space="preserve"> and publications plans. The research meetings are </w:t>
      </w:r>
      <w:r w:rsidR="00F830D3">
        <w:lastRenderedPageBreak/>
        <w:t xml:space="preserve">complementary to </w:t>
      </w:r>
      <w:r w:rsidR="009952D4">
        <w:t xml:space="preserve">the Accountability and Development </w:t>
      </w:r>
      <w:r w:rsidR="00F830D3">
        <w:t>R</w:t>
      </w:r>
      <w:r w:rsidR="009952D4">
        <w:t>eview</w:t>
      </w:r>
      <w:r w:rsidR="00F830D3">
        <w:t>s</w:t>
      </w:r>
      <w:r w:rsidR="009952D4">
        <w:t xml:space="preserve"> (ADR)</w:t>
      </w:r>
      <w:r w:rsidR="00F830D3">
        <w:t xml:space="preserve"> and mentoring</w:t>
      </w:r>
      <w:r w:rsidR="009952D4">
        <w:t>/probation</w:t>
      </w:r>
      <w:r w:rsidR="00F830D3">
        <w:t xml:space="preserve"> arrangements for new staff. They are designed to be supportive and encourage staff to think about short, </w:t>
      </w:r>
      <w:proofErr w:type="gramStart"/>
      <w:r w:rsidR="00F830D3">
        <w:t>medium</w:t>
      </w:r>
      <w:proofErr w:type="gramEnd"/>
      <w:r w:rsidR="00F830D3">
        <w:t xml:space="preserve"> and long-term research planning.</w:t>
      </w:r>
    </w:p>
    <w:p w14:paraId="076EE217" w14:textId="43E435B7" w:rsidR="006C0BC3" w:rsidRDefault="006C0BC3"/>
    <w:p w14:paraId="24ED9183" w14:textId="06069B08" w:rsidR="006C0BC3" w:rsidRDefault="006C0BC3">
      <w:r>
        <w:t xml:space="preserve">To ensure that the aims and workings of REF are understood throughout the School, regular briefings on developments will be led by the Research Director </w:t>
      </w:r>
      <w:r w:rsidR="007D088B">
        <w:t xml:space="preserve">(or, if appointed, the Director of REF) </w:t>
      </w:r>
      <w:r>
        <w:t xml:space="preserve">(in School meetings, Away </w:t>
      </w:r>
      <w:proofErr w:type="gramStart"/>
      <w:r>
        <w:t>Days</w:t>
      </w:r>
      <w:proofErr w:type="gramEnd"/>
      <w:r>
        <w:t xml:space="preserve"> or other appropriate fora). The panel of internal REF reviewers should be expanded, to ensure a balance across sub-disciplines and methodological approaches with law, seniority, gender etc. Training for REF reviewers and guidance sessions on writing for the REF will be led by the Research Director.</w:t>
      </w:r>
    </w:p>
    <w:p w14:paraId="51BE1B37" w14:textId="0526F702" w:rsidR="003A3B87" w:rsidRDefault="003A3B87"/>
    <w:p w14:paraId="42DEBC07" w14:textId="2F7699AE" w:rsidR="003A3B87" w:rsidRDefault="003A3B87">
      <w:r>
        <w:t>The research seminars of the School and the research centres are an important dimension of the School’s culture. Events should be organised with adequate notice to ensure colleagues from other parts of the University and beyond are able to participate</w:t>
      </w:r>
      <w:r w:rsidR="009952D4">
        <w:t xml:space="preserve">, and </w:t>
      </w:r>
      <w:proofErr w:type="gramStart"/>
      <w:r w:rsidR="009952D4">
        <w:t>in particular members</w:t>
      </w:r>
      <w:proofErr w:type="gramEnd"/>
      <w:r w:rsidR="009952D4">
        <w:t xml:space="preserve"> of the PGR community</w:t>
      </w:r>
      <w:r>
        <w:t>.</w:t>
      </w:r>
      <w:r w:rsidR="005F0F1F">
        <w:t xml:space="preserve">  The mix of dissemination of research work and capacity-building/training seminars should continue.</w:t>
      </w:r>
    </w:p>
    <w:p w14:paraId="3E386334" w14:textId="14429464" w:rsidR="003A3B87" w:rsidRDefault="003A3B87"/>
    <w:p w14:paraId="59437347" w14:textId="73F27D1A" w:rsidR="003A3B87" w:rsidRDefault="003A3B87">
      <w:r>
        <w:t>Smaller, internal events such as ‘brown bag lunches’ are an optimum way to share research ideas in an informal setting with colleagues. This would be suitable for ideas at the very early stages</w:t>
      </w:r>
      <w:r w:rsidR="009952D4">
        <w:t>. Proposing innovative ways to share and discuss research and ideas is encourage</w:t>
      </w:r>
      <w:r w:rsidR="004D0C04">
        <w:t>d for all members of the school community, including PGR students.</w:t>
      </w:r>
    </w:p>
    <w:p w14:paraId="0FB562B2" w14:textId="3C9808C0" w:rsidR="0048083C" w:rsidRDefault="0048083C"/>
    <w:p w14:paraId="2F948F88" w14:textId="37DBB93A" w:rsidR="0048083C" w:rsidRPr="003A3B87" w:rsidRDefault="0048083C" w:rsidP="00D231DD">
      <w:pPr>
        <w:pStyle w:val="Heading3"/>
        <w:rPr>
          <w:b w:val="0"/>
        </w:rPr>
      </w:pPr>
      <w:r w:rsidRPr="003A3B87">
        <w:t>Incom</w:t>
      </w:r>
      <w:r w:rsidR="003A3B87" w:rsidRPr="003A3B87">
        <w:t>e and research grants</w:t>
      </w:r>
    </w:p>
    <w:p w14:paraId="035DA53D" w14:textId="3A98CD5B" w:rsidR="003A3B87" w:rsidRDefault="003A3B87"/>
    <w:p w14:paraId="130AFEBE" w14:textId="57103EDF" w:rsidR="003A3B87" w:rsidRDefault="003A3B87">
      <w:r>
        <w:t xml:space="preserve">The School supports the findings of the Reid Report on University-level research funding, in particular the need to diversify sources of potential funding and to engage in collaborative bids. The </w:t>
      </w:r>
      <w:r w:rsidR="004D0C04">
        <w:t xml:space="preserve">Faculty and the School </w:t>
      </w:r>
      <w:r>
        <w:t xml:space="preserve">Research Director(s) will be primarily responsible for sharing opportunities for funding internally to Strathclyde and encouraging individual researchers and research centres to participate or lead University bids. Special attention should be paid to collaborative relationships with the </w:t>
      </w:r>
      <w:r w:rsidR="005F0F1F">
        <w:t>other faculties</w:t>
      </w:r>
      <w:r>
        <w:t>.</w:t>
      </w:r>
    </w:p>
    <w:p w14:paraId="786CB212" w14:textId="7CF85A31" w:rsidR="003A3B87" w:rsidRDefault="003A3B87"/>
    <w:p w14:paraId="5EA8FB2A" w14:textId="50098AA9" w:rsidR="003A3B87" w:rsidRDefault="003A3B87">
      <w:r>
        <w:t>The School has established workable deadlines for expressions of interest in grant</w:t>
      </w:r>
      <w:r w:rsidR="0062641C">
        <w:t>s</w:t>
      </w:r>
      <w:r>
        <w:t xml:space="preserve">, </w:t>
      </w:r>
      <w:proofErr w:type="gramStart"/>
      <w:r>
        <w:t>in order to</w:t>
      </w:r>
      <w:proofErr w:type="gramEnd"/>
      <w:r>
        <w:t xml:space="preserve"> ensure that bids can be costed and reviewed fully. This will ensure a greater chance of success. Colleagues are encouraged to ask each other to look at draft bids, with a view to ensuring clarity of the language and building up expertise and best practice. The School will support, in collaboration with University and HaSS services, the bidding and post-award stages. Researchers who are employed as part of research grants will be fully integrated into the research life of the Schoo</w:t>
      </w:r>
      <w:r w:rsidR="009A045D">
        <w:t>l.</w:t>
      </w:r>
    </w:p>
    <w:p w14:paraId="6911282D" w14:textId="61972C3F" w:rsidR="0048083C" w:rsidRDefault="0048083C"/>
    <w:p w14:paraId="5BA2D905" w14:textId="2FCD70D0" w:rsidR="0048083C" w:rsidRDefault="007F1A52">
      <w:r>
        <w:t>The School will enhance strategic support and planning for grant applications on an individual level via the annual research meetings.</w:t>
      </w:r>
    </w:p>
    <w:p w14:paraId="0B5ECC5B" w14:textId="4ED284AB" w:rsidR="0048083C" w:rsidRDefault="0048083C"/>
    <w:p w14:paraId="7D386424" w14:textId="3A59ACA0" w:rsidR="0048083C" w:rsidRPr="00703358" w:rsidRDefault="009A045D" w:rsidP="00D231DD">
      <w:pPr>
        <w:pStyle w:val="Heading3"/>
        <w:rPr>
          <w:b w:val="0"/>
        </w:rPr>
      </w:pPr>
      <w:r>
        <w:t xml:space="preserve">Knowledge exchange, </w:t>
      </w:r>
      <w:proofErr w:type="gramStart"/>
      <w:r w:rsidR="0048083C" w:rsidRPr="00703358">
        <w:t>Impact</w:t>
      </w:r>
      <w:proofErr w:type="gramEnd"/>
      <w:r w:rsidR="002710A3" w:rsidRPr="00703358">
        <w:t xml:space="preserve"> and outreach</w:t>
      </w:r>
    </w:p>
    <w:p w14:paraId="1BC6E7C2" w14:textId="48448588" w:rsidR="0048083C" w:rsidRDefault="0048083C"/>
    <w:p w14:paraId="19CB3B83" w14:textId="38B646EE" w:rsidR="00E51460" w:rsidRDefault="007F1A52" w:rsidP="00E51460">
      <w:r>
        <w:t xml:space="preserve">Engagement with non-academic partners in research is a key part of the School and University research environment. </w:t>
      </w:r>
      <w:r w:rsidR="00E51460">
        <w:t xml:space="preserve">The School’s Knowledge Exchange agenda will be led by the KE Director and Deputy Director. </w:t>
      </w:r>
      <w:r w:rsidR="0062641C">
        <w:t xml:space="preserve">Professors of Practice </w:t>
      </w:r>
      <w:r>
        <w:t xml:space="preserve">will continue </w:t>
      </w:r>
      <w:r w:rsidR="0062641C">
        <w:t xml:space="preserve">be involved at all </w:t>
      </w:r>
      <w:r w:rsidR="0062641C">
        <w:lastRenderedPageBreak/>
        <w:t xml:space="preserve">stages. </w:t>
      </w:r>
      <w:r w:rsidR="00E51460">
        <w:t xml:space="preserve">Central to this task is </w:t>
      </w:r>
      <w:r w:rsidR="00E51460" w:rsidRPr="003702E2">
        <w:rPr>
          <w:bCs/>
        </w:rPr>
        <w:t xml:space="preserve">embedding </w:t>
      </w:r>
      <w:r w:rsidR="00E51460" w:rsidRPr="00BF59E5">
        <w:rPr>
          <w:bCs/>
        </w:rPr>
        <w:t xml:space="preserve">KE in Law School </w:t>
      </w:r>
      <w:r w:rsidR="00E51460" w:rsidRPr="003702E2">
        <w:rPr>
          <w:bCs/>
        </w:rPr>
        <w:t>research to support the</w:t>
      </w:r>
      <w:r w:rsidR="00E51460" w:rsidRPr="00BF59E5">
        <w:rPr>
          <w:bCs/>
        </w:rPr>
        <w:t xml:space="preserve"> de</w:t>
      </w:r>
      <w:r w:rsidR="00E51460">
        <w:rPr>
          <w:bCs/>
        </w:rPr>
        <w:t>velopment of research impact. Also central is</w:t>
      </w:r>
      <w:r w:rsidR="00E51460" w:rsidRPr="00BF59E5">
        <w:rPr>
          <w:bCs/>
        </w:rPr>
        <w:t xml:space="preserve"> </w:t>
      </w:r>
      <w:r w:rsidR="00E51460">
        <w:rPr>
          <w:bCs/>
        </w:rPr>
        <w:t>enhancing the Law School’s KE by</w:t>
      </w:r>
      <w:r w:rsidR="00E51460" w:rsidRPr="00BF59E5">
        <w:rPr>
          <w:bCs/>
        </w:rPr>
        <w:t xml:space="preserve"> </w:t>
      </w:r>
      <w:r w:rsidR="00E51460" w:rsidRPr="003702E2">
        <w:rPr>
          <w:bCs/>
        </w:rPr>
        <w:t>formalising our approach to KE activity, reporting, and promotion</w:t>
      </w:r>
      <w:r w:rsidR="00E51460" w:rsidRPr="003702E2">
        <w:t xml:space="preserve"> including through </w:t>
      </w:r>
      <w:r w:rsidR="00E51460">
        <w:t xml:space="preserve">the dissemination of KE expertise and the efficient and effective identification logging of examples of impact. This will be done in line with University KE Strategy and informed by the principles of the KE Concordat. </w:t>
      </w:r>
    </w:p>
    <w:p w14:paraId="24B6D587" w14:textId="77777777" w:rsidR="00E51460" w:rsidRDefault="00E51460" w:rsidP="00E51460"/>
    <w:p w14:paraId="152A53B8" w14:textId="43CBF54C" w:rsidR="00E51460" w:rsidRDefault="00E51460" w:rsidP="00E51460">
      <w:r>
        <w:t xml:space="preserve">Members of the School </w:t>
      </w:r>
      <w:r w:rsidR="007F1A52">
        <w:t>are</w:t>
      </w:r>
      <w:r>
        <w:t xml:space="preserve"> encouraged to identify their KE activities and share insights from successful KE activities </w:t>
      </w:r>
      <w:proofErr w:type="gramStart"/>
      <w:r>
        <w:t>in order to</w:t>
      </w:r>
      <w:proofErr w:type="gramEnd"/>
      <w:r>
        <w:t xml:space="preserve"> enhance KE overall in the Law School.</w:t>
      </w:r>
    </w:p>
    <w:p w14:paraId="13DA6BC0" w14:textId="77777777" w:rsidR="00E51460" w:rsidRDefault="00E51460" w:rsidP="00E51460"/>
    <w:p w14:paraId="3D64572D" w14:textId="028E407A" w:rsidR="00E51460" w:rsidRPr="003702E2" w:rsidRDefault="00E51460" w:rsidP="00E51460">
      <w:pPr>
        <w:rPr>
          <w:b/>
        </w:rPr>
      </w:pPr>
      <w:r>
        <w:t xml:space="preserve">Individual researchers </w:t>
      </w:r>
      <w:r w:rsidR="007F1A52">
        <w:t xml:space="preserve">will </w:t>
      </w:r>
      <w:proofErr w:type="gramStart"/>
      <w:r>
        <w:t>keep PURE records up to date at all times</w:t>
      </w:r>
      <w:proofErr w:type="gramEnd"/>
      <w:r>
        <w:t>, since this is crucial for outward-facing reputation and internal processes such as promotions.</w:t>
      </w:r>
    </w:p>
    <w:p w14:paraId="4D713C8D" w14:textId="77777777" w:rsidR="00E51460" w:rsidRDefault="00E51460" w:rsidP="00E51460"/>
    <w:p w14:paraId="0C2CD9F2" w14:textId="264C2FF6" w:rsidR="00E51460" w:rsidRDefault="00E51460" w:rsidP="00E51460">
      <w:r>
        <w:t xml:space="preserve">Members of the School should share inquiries relating to expertise, such as media requests, if they are unable to participate or contribute individually. The School </w:t>
      </w:r>
      <w:r w:rsidR="007F1A52">
        <w:t xml:space="preserve">will </w:t>
      </w:r>
      <w:r>
        <w:t>enhance its relationship with the University Media Team and ensure that all instances of media engagement are logged with the team for inclusion in University publicity.</w:t>
      </w:r>
    </w:p>
    <w:p w14:paraId="3A319D98" w14:textId="1C779B00" w:rsidR="009A045D" w:rsidRDefault="009A045D"/>
    <w:p w14:paraId="33820D1E" w14:textId="78B45FF5" w:rsidR="009A045D" w:rsidRDefault="009A045D">
      <w:r>
        <w:t xml:space="preserve">The School’s enhanced social media presence (via, inter alia, Twitter, </w:t>
      </w:r>
      <w:proofErr w:type="gramStart"/>
      <w:r>
        <w:t>LinkedIn</w:t>
      </w:r>
      <w:proofErr w:type="gramEnd"/>
      <w:r w:rsidR="00220F4D">
        <w:t xml:space="preserve"> and Facebook (HaSS)</w:t>
      </w:r>
      <w:r>
        <w:t xml:space="preserve">) is vital in ensuring the visibility of the School to the University and wider community. Staff who are active on social media for professional purposes should try to share news </w:t>
      </w:r>
      <w:proofErr w:type="gramStart"/>
      <w:r>
        <w:t>in order to</w:t>
      </w:r>
      <w:proofErr w:type="gramEnd"/>
      <w:r>
        <w:t xml:space="preserve"> reach a wider audience.</w:t>
      </w:r>
      <w:r w:rsidR="006C0BC3">
        <w:t xml:space="preserve"> Announcements should be coordinated via the appropriate staff in both the academic and administrative support teams.</w:t>
      </w:r>
      <w:r>
        <w:t xml:space="preserve"> </w:t>
      </w:r>
      <w:r w:rsidR="005F0F1F">
        <w:t>The School will maintain a Social Media Champion and liaison with whom colleagues should frequently liaise.</w:t>
      </w:r>
    </w:p>
    <w:p w14:paraId="79EBF2DC" w14:textId="77777777" w:rsidR="009A045D" w:rsidRDefault="009A045D"/>
    <w:p w14:paraId="07C38D39" w14:textId="5D2AC35E" w:rsidR="00703358" w:rsidRDefault="009A045D">
      <w:r>
        <w:t xml:space="preserve">Colleagues should try to publicise research outputs, either via the publisher (who are increasingly offering promotion opportunities) or via blogs. This includes the Law School blog, which will build on its early success in highlighting research excellence and linking to recent publications. </w:t>
      </w:r>
    </w:p>
    <w:p w14:paraId="4C95D419" w14:textId="2AF6B2F4" w:rsidR="009A045D" w:rsidRDefault="009A045D"/>
    <w:p w14:paraId="6D1B8EAF" w14:textId="4B7DAFC8" w:rsidR="00703358" w:rsidRDefault="009A045D">
      <w:r>
        <w:t xml:space="preserve">Staff will also be encouraged to take part in submissions to official enquiries (for example, of the Scottish or UK governments and Parliaments) </w:t>
      </w:r>
      <w:r w:rsidR="00220F4D">
        <w:t xml:space="preserve">individually, on behalf of a Research Centre or </w:t>
      </w:r>
      <w:r>
        <w:t>where a common, School-led approach would be worthwhile.</w:t>
      </w:r>
    </w:p>
    <w:p w14:paraId="57C92A56" w14:textId="5B6A175B" w:rsidR="0048083C" w:rsidRDefault="0048083C"/>
    <w:p w14:paraId="100EF067" w14:textId="0B75C4B6" w:rsidR="0048083C" w:rsidRPr="00703358" w:rsidRDefault="0048083C" w:rsidP="00D231DD">
      <w:pPr>
        <w:pStyle w:val="Heading3"/>
        <w:rPr>
          <w:b w:val="0"/>
        </w:rPr>
      </w:pPr>
      <w:r w:rsidRPr="00703358">
        <w:t>PGR community</w:t>
      </w:r>
    </w:p>
    <w:p w14:paraId="40082BDF" w14:textId="1487D4DE" w:rsidR="0048083C" w:rsidRDefault="0048083C"/>
    <w:p w14:paraId="0617C6E3" w14:textId="55FEACB8" w:rsidR="00F0179E" w:rsidRDefault="002710A3">
      <w:r>
        <w:t>PGR students are an integral part of the research community in the Law School. Applications for PGR study and pastoral care for current students are the responsibility of the PGR Director(s). All research-active staff are encouraged to speak with outstanding Honours/Masters students about the possibilities for postgraduate research</w:t>
      </w:r>
      <w:r w:rsidR="00703358">
        <w:t xml:space="preserve">. The School aims to increase its number of high-quality PGR students and ensure timely completion of their research projects. </w:t>
      </w:r>
      <w:r w:rsidR="00F0179E">
        <w:t>Developing innovative Law or interdisciplinary pathways as a means of attracting PGR students should be pursued where possible.</w:t>
      </w:r>
    </w:p>
    <w:p w14:paraId="7979A83D" w14:textId="77777777" w:rsidR="00F0179E" w:rsidRDefault="00F0179E"/>
    <w:p w14:paraId="39FE0DBC" w14:textId="5935A14B" w:rsidR="0048083C" w:rsidRDefault="007F1A52">
      <w:r>
        <w:t xml:space="preserve">The School will support PGR students by sharing opportunities for academic and non-academic career </w:t>
      </w:r>
      <w:proofErr w:type="gramStart"/>
      <w:r>
        <w:t>development, and</w:t>
      </w:r>
      <w:proofErr w:type="gramEnd"/>
      <w:r>
        <w:t xml:space="preserve"> ensuring that they are equipped with the skills needed to become future research leaders. The visibility of PGR students on the website should be </w:t>
      </w:r>
      <w:r>
        <w:lastRenderedPageBreak/>
        <w:t xml:space="preserve">enhanced. </w:t>
      </w:r>
      <w:r w:rsidR="00703358">
        <w:t>All staff are encouraged to play a role in the PGR review processes</w:t>
      </w:r>
      <w:r w:rsidR="003A3B87">
        <w:t xml:space="preserve"> and support sharing of advice about enhancing career prospects for junior researchers.</w:t>
      </w:r>
    </w:p>
    <w:p w14:paraId="345B83BF" w14:textId="77777777" w:rsidR="0069068B" w:rsidRDefault="0069068B"/>
    <w:p w14:paraId="349B5FA5" w14:textId="77777777" w:rsidR="0069068B" w:rsidRDefault="0069068B"/>
    <w:p w14:paraId="1F17B391" w14:textId="77777777" w:rsidR="0069068B" w:rsidRDefault="0069068B"/>
    <w:p w14:paraId="57E6564E" w14:textId="0267D018" w:rsidR="00402ED5" w:rsidRDefault="00402ED5">
      <w:r>
        <w:br w:type="page"/>
      </w:r>
    </w:p>
    <w:p w14:paraId="131DDE8F" w14:textId="3BC69DF4" w:rsidR="00402ED5" w:rsidRPr="00952E39" w:rsidRDefault="00402ED5" w:rsidP="00402ED5">
      <w:pPr>
        <w:pStyle w:val="Heading2"/>
        <w:rPr>
          <w:rFonts w:ascii="Calibri" w:hAnsi="Calibri" w:cs="Calibri"/>
          <w:sz w:val="24"/>
          <w:szCs w:val="24"/>
        </w:rPr>
      </w:pPr>
      <w:r w:rsidRPr="00952E39">
        <w:rPr>
          <w:rFonts w:ascii="Calibri" w:hAnsi="Calibri" w:cs="Calibri"/>
          <w:sz w:val="24"/>
          <w:szCs w:val="24"/>
        </w:rPr>
        <w:lastRenderedPageBreak/>
        <w:t>Annex: Action Plan</w:t>
      </w:r>
    </w:p>
    <w:p w14:paraId="4DA65C1A" w14:textId="02282FB6" w:rsidR="007D18A0" w:rsidRPr="00952E39" w:rsidRDefault="007D18A0" w:rsidP="007D18A0">
      <w:pPr>
        <w:rPr>
          <w:rFonts w:ascii="Calibri" w:hAnsi="Calibri" w:cs="Calibri"/>
          <w:lang w:eastAsia="zh-CN"/>
        </w:rPr>
      </w:pPr>
    </w:p>
    <w:p w14:paraId="5ABAF98F" w14:textId="77777777" w:rsidR="007D18A0" w:rsidRPr="00952E39" w:rsidRDefault="007D18A0" w:rsidP="008953AB">
      <w:pPr>
        <w:rPr>
          <w:rFonts w:ascii="Calibri" w:hAnsi="Calibri" w:cs="Calibri"/>
          <w:lang w:eastAsia="zh-CN"/>
        </w:rPr>
      </w:pPr>
    </w:p>
    <w:tbl>
      <w:tblPr>
        <w:tblStyle w:val="TableGrid"/>
        <w:tblW w:w="9242" w:type="dxa"/>
        <w:tblLook w:val="04A0" w:firstRow="1" w:lastRow="0" w:firstColumn="1" w:lastColumn="0" w:noHBand="0" w:noVBand="1"/>
      </w:tblPr>
      <w:tblGrid>
        <w:gridCol w:w="6096"/>
        <w:gridCol w:w="1383"/>
        <w:gridCol w:w="1763"/>
      </w:tblGrid>
      <w:tr w:rsidR="0098409B" w:rsidRPr="00952E39" w14:paraId="4D3B8BE7" w14:textId="77777777" w:rsidTr="00DE6F0F">
        <w:tc>
          <w:tcPr>
            <w:tcW w:w="9242" w:type="dxa"/>
            <w:gridSpan w:val="3"/>
            <w:tcBorders>
              <w:top w:val="nil"/>
              <w:left w:val="nil"/>
              <w:bottom w:val="single" w:sz="4" w:space="0" w:color="auto"/>
              <w:right w:val="nil"/>
            </w:tcBorders>
          </w:tcPr>
          <w:p w14:paraId="745476D2" w14:textId="5280A2F3" w:rsidR="0098409B" w:rsidRPr="00952E39" w:rsidRDefault="0098409B" w:rsidP="00DE6F0F">
            <w:pPr>
              <w:pStyle w:val="ListParagraph"/>
              <w:numPr>
                <w:ilvl w:val="0"/>
                <w:numId w:val="3"/>
              </w:numPr>
              <w:rPr>
                <w:rFonts w:ascii="Calibri" w:hAnsi="Calibri" w:cs="Calibri"/>
                <w:sz w:val="24"/>
                <w:szCs w:val="24"/>
              </w:rPr>
            </w:pPr>
            <w:r w:rsidRPr="00952E39">
              <w:rPr>
                <w:rFonts w:ascii="Calibri" w:hAnsi="Calibri" w:cs="Calibri"/>
                <w:sz w:val="24"/>
                <w:szCs w:val="24"/>
              </w:rPr>
              <w:t>Meeting the Strategic Goals</w:t>
            </w:r>
          </w:p>
          <w:p w14:paraId="675F4734" w14:textId="77777777" w:rsidR="0098409B" w:rsidRPr="00952E39" w:rsidRDefault="0098409B" w:rsidP="00DE6F0F">
            <w:pPr>
              <w:pStyle w:val="ListParagraph"/>
              <w:spacing w:after="120"/>
              <w:ind w:left="360"/>
              <w:rPr>
                <w:rFonts w:ascii="Calibri" w:hAnsi="Calibri" w:cs="Calibri"/>
                <w:b/>
                <w:bCs/>
                <w:sz w:val="24"/>
                <w:szCs w:val="24"/>
              </w:rPr>
            </w:pPr>
          </w:p>
        </w:tc>
      </w:tr>
      <w:tr w:rsidR="0098409B" w:rsidRPr="00952E39" w14:paraId="30EB2193" w14:textId="77777777" w:rsidTr="008953AB">
        <w:tc>
          <w:tcPr>
            <w:tcW w:w="6096" w:type="dxa"/>
            <w:tcBorders>
              <w:top w:val="single" w:sz="4" w:space="0" w:color="auto"/>
            </w:tcBorders>
          </w:tcPr>
          <w:p w14:paraId="0072F9FC" w14:textId="77777777" w:rsidR="0098409B" w:rsidRPr="00952E39" w:rsidRDefault="0098409B" w:rsidP="00DE6F0F">
            <w:pPr>
              <w:rPr>
                <w:rFonts w:ascii="Calibri" w:hAnsi="Calibri" w:cs="Calibri"/>
                <w:i/>
                <w:iCs/>
                <w:sz w:val="24"/>
                <w:szCs w:val="24"/>
              </w:rPr>
            </w:pPr>
            <w:r w:rsidRPr="00952E39">
              <w:rPr>
                <w:rFonts w:ascii="Calibri" w:hAnsi="Calibri" w:cs="Calibri"/>
                <w:i/>
                <w:iCs/>
                <w:sz w:val="24"/>
                <w:szCs w:val="24"/>
              </w:rPr>
              <w:t>Action Point</w:t>
            </w:r>
          </w:p>
        </w:tc>
        <w:tc>
          <w:tcPr>
            <w:tcW w:w="1383" w:type="dxa"/>
            <w:tcBorders>
              <w:top w:val="single" w:sz="4" w:space="0" w:color="auto"/>
            </w:tcBorders>
          </w:tcPr>
          <w:p w14:paraId="55ECDC96" w14:textId="77777777" w:rsidR="0098409B" w:rsidRPr="00952E39" w:rsidRDefault="0098409B" w:rsidP="00DE6F0F">
            <w:pPr>
              <w:rPr>
                <w:rFonts w:ascii="Calibri" w:hAnsi="Calibri" w:cs="Calibri"/>
                <w:i/>
                <w:iCs/>
                <w:sz w:val="24"/>
                <w:szCs w:val="24"/>
              </w:rPr>
            </w:pPr>
            <w:r w:rsidRPr="00952E39">
              <w:rPr>
                <w:rFonts w:ascii="Calibri" w:hAnsi="Calibri" w:cs="Calibri"/>
                <w:i/>
                <w:iCs/>
                <w:sz w:val="24"/>
                <w:szCs w:val="24"/>
              </w:rPr>
              <w:t>Timescale</w:t>
            </w:r>
          </w:p>
        </w:tc>
        <w:tc>
          <w:tcPr>
            <w:tcW w:w="1763" w:type="dxa"/>
            <w:tcBorders>
              <w:top w:val="single" w:sz="4" w:space="0" w:color="auto"/>
            </w:tcBorders>
          </w:tcPr>
          <w:p w14:paraId="7AD74E7E" w14:textId="77777777" w:rsidR="0098409B" w:rsidRPr="00952E39" w:rsidRDefault="0098409B" w:rsidP="00DE6F0F">
            <w:pPr>
              <w:rPr>
                <w:rFonts w:ascii="Calibri" w:hAnsi="Calibri" w:cs="Calibri"/>
                <w:i/>
                <w:iCs/>
                <w:sz w:val="24"/>
                <w:szCs w:val="24"/>
              </w:rPr>
            </w:pPr>
            <w:r w:rsidRPr="00952E39">
              <w:rPr>
                <w:rFonts w:ascii="Calibri" w:hAnsi="Calibri" w:cs="Calibri"/>
                <w:i/>
                <w:iCs/>
                <w:sz w:val="24"/>
                <w:szCs w:val="24"/>
              </w:rPr>
              <w:t>Action by</w:t>
            </w:r>
          </w:p>
        </w:tc>
      </w:tr>
      <w:tr w:rsidR="0098409B" w:rsidRPr="00952E39" w14:paraId="62470C78" w14:textId="77777777" w:rsidTr="008953AB">
        <w:tc>
          <w:tcPr>
            <w:tcW w:w="6096" w:type="dxa"/>
          </w:tcPr>
          <w:p w14:paraId="039517DF" w14:textId="53D8A737" w:rsidR="0098409B" w:rsidRPr="00952E39" w:rsidRDefault="0098409B" w:rsidP="00DE6F0F">
            <w:pPr>
              <w:rPr>
                <w:rFonts w:ascii="Calibri" w:hAnsi="Calibri" w:cs="Calibri"/>
                <w:sz w:val="24"/>
                <w:szCs w:val="24"/>
              </w:rPr>
            </w:pPr>
            <w:r w:rsidRPr="00952E39">
              <w:rPr>
                <w:rFonts w:ascii="Calibri" w:hAnsi="Calibri" w:cs="Calibri"/>
                <w:sz w:val="24"/>
                <w:szCs w:val="24"/>
              </w:rPr>
              <w:t>Report annually to the School, HaSS and University on progress towards meeting the strategic goals in this research strategy</w:t>
            </w:r>
            <w:r w:rsidR="00F0179E" w:rsidRPr="00952E39">
              <w:rPr>
                <w:rFonts w:ascii="Calibri" w:hAnsi="Calibri" w:cs="Calibri"/>
                <w:sz w:val="24"/>
                <w:szCs w:val="24"/>
              </w:rPr>
              <w:t>. Offer opportunity for School-wide reflection on the research direction, and how it continues to fit with School and University priorities.</w:t>
            </w:r>
          </w:p>
          <w:p w14:paraId="4773CA29" w14:textId="35F7EEE8" w:rsidR="0098409B" w:rsidRPr="00952E39" w:rsidRDefault="0098409B" w:rsidP="00DE6F0F">
            <w:pPr>
              <w:rPr>
                <w:rFonts w:ascii="Calibri" w:hAnsi="Calibri" w:cs="Calibri"/>
                <w:sz w:val="24"/>
                <w:szCs w:val="24"/>
              </w:rPr>
            </w:pPr>
          </w:p>
        </w:tc>
        <w:tc>
          <w:tcPr>
            <w:tcW w:w="1383" w:type="dxa"/>
          </w:tcPr>
          <w:p w14:paraId="401F64DB" w14:textId="51A5772F" w:rsidR="0098409B" w:rsidRPr="00952E39" w:rsidRDefault="0098409B" w:rsidP="00DE6F0F">
            <w:pPr>
              <w:rPr>
                <w:rFonts w:ascii="Calibri" w:hAnsi="Calibri" w:cs="Calibri"/>
                <w:sz w:val="24"/>
                <w:szCs w:val="24"/>
              </w:rPr>
            </w:pPr>
            <w:r w:rsidRPr="00952E39">
              <w:rPr>
                <w:rFonts w:ascii="Calibri" w:hAnsi="Calibri" w:cs="Calibri"/>
                <w:sz w:val="24"/>
                <w:szCs w:val="24"/>
              </w:rPr>
              <w:t>Annual</w:t>
            </w:r>
          </w:p>
        </w:tc>
        <w:tc>
          <w:tcPr>
            <w:tcW w:w="1763" w:type="dxa"/>
          </w:tcPr>
          <w:p w14:paraId="0F6CF6DC" w14:textId="334E4F20" w:rsidR="0098409B" w:rsidRPr="00952E39" w:rsidRDefault="0098409B" w:rsidP="00DE6F0F">
            <w:pPr>
              <w:rPr>
                <w:rFonts w:ascii="Calibri" w:hAnsi="Calibri" w:cs="Calibri"/>
                <w:sz w:val="24"/>
                <w:szCs w:val="24"/>
              </w:rPr>
            </w:pPr>
            <w:r w:rsidRPr="00952E39">
              <w:rPr>
                <w:rFonts w:ascii="Calibri" w:hAnsi="Calibri" w:cs="Calibri"/>
                <w:sz w:val="24"/>
                <w:szCs w:val="24"/>
              </w:rPr>
              <w:t>Head of School, Director of Research</w:t>
            </w:r>
            <w:r w:rsidR="006C019E" w:rsidRPr="00952E39">
              <w:rPr>
                <w:rFonts w:ascii="Calibri" w:hAnsi="Calibri" w:cs="Calibri"/>
                <w:sz w:val="24"/>
                <w:szCs w:val="24"/>
              </w:rPr>
              <w:t>, School Manager</w:t>
            </w:r>
          </w:p>
        </w:tc>
      </w:tr>
      <w:tr w:rsidR="0098409B" w:rsidRPr="00952E39" w14:paraId="709D8319" w14:textId="77777777" w:rsidTr="008953AB">
        <w:tc>
          <w:tcPr>
            <w:tcW w:w="6096" w:type="dxa"/>
          </w:tcPr>
          <w:p w14:paraId="5AB63A6C" w14:textId="77DEBED7" w:rsidR="0098409B" w:rsidRPr="00952E39" w:rsidRDefault="00C43E9A" w:rsidP="00DE6F0F">
            <w:pPr>
              <w:rPr>
                <w:rFonts w:ascii="Calibri" w:hAnsi="Calibri" w:cs="Calibri"/>
                <w:sz w:val="24"/>
                <w:szCs w:val="24"/>
              </w:rPr>
            </w:pPr>
            <w:r w:rsidRPr="00952E39">
              <w:rPr>
                <w:rFonts w:ascii="Calibri" w:hAnsi="Calibri" w:cs="Calibri"/>
                <w:sz w:val="24"/>
                <w:szCs w:val="24"/>
              </w:rPr>
              <w:t>Develop systems to gather, record and audit, on an annual basis, funding, publications and KE that will feed into eventual REF submission.</w:t>
            </w:r>
          </w:p>
        </w:tc>
        <w:tc>
          <w:tcPr>
            <w:tcW w:w="1383" w:type="dxa"/>
          </w:tcPr>
          <w:p w14:paraId="1BEC317B" w14:textId="31B7E694" w:rsidR="0098409B" w:rsidRPr="00952E39" w:rsidRDefault="0098409B" w:rsidP="00DE6F0F">
            <w:pPr>
              <w:rPr>
                <w:rFonts w:ascii="Calibri" w:hAnsi="Calibri" w:cs="Calibri"/>
                <w:sz w:val="24"/>
                <w:szCs w:val="24"/>
              </w:rPr>
            </w:pPr>
            <w:r w:rsidRPr="00952E39">
              <w:rPr>
                <w:rFonts w:ascii="Calibri" w:hAnsi="Calibri" w:cs="Calibri"/>
                <w:sz w:val="24"/>
                <w:szCs w:val="24"/>
              </w:rPr>
              <w:t>Annual</w:t>
            </w:r>
          </w:p>
        </w:tc>
        <w:tc>
          <w:tcPr>
            <w:tcW w:w="1763" w:type="dxa"/>
          </w:tcPr>
          <w:p w14:paraId="4F32F2E8" w14:textId="03E803E6" w:rsidR="0098409B" w:rsidRPr="00952E39" w:rsidRDefault="0098409B" w:rsidP="00B60D3E">
            <w:pPr>
              <w:rPr>
                <w:rFonts w:ascii="Calibri" w:hAnsi="Calibri" w:cs="Calibri"/>
                <w:sz w:val="24"/>
                <w:szCs w:val="24"/>
              </w:rPr>
            </w:pPr>
            <w:r w:rsidRPr="00952E39">
              <w:rPr>
                <w:rFonts w:ascii="Calibri" w:hAnsi="Calibri" w:cs="Calibri"/>
                <w:sz w:val="24"/>
                <w:szCs w:val="24"/>
              </w:rPr>
              <w:t xml:space="preserve">Head of School, </w:t>
            </w:r>
            <w:r w:rsidR="006C019E" w:rsidRPr="00952E39">
              <w:rPr>
                <w:rFonts w:ascii="Calibri" w:hAnsi="Calibri" w:cs="Calibri"/>
                <w:sz w:val="24"/>
                <w:szCs w:val="24"/>
              </w:rPr>
              <w:t>School Manager</w:t>
            </w:r>
            <w:r w:rsidR="00B60D3E" w:rsidRPr="00952E39">
              <w:rPr>
                <w:rFonts w:ascii="Calibri" w:hAnsi="Calibri" w:cs="Calibri"/>
                <w:sz w:val="24"/>
                <w:szCs w:val="24"/>
              </w:rPr>
              <w:t>, and overseen by the Director of Research</w:t>
            </w:r>
          </w:p>
        </w:tc>
      </w:tr>
      <w:tr w:rsidR="0098409B" w:rsidRPr="00952E39" w14:paraId="5DA9EA01" w14:textId="77777777" w:rsidTr="008953AB">
        <w:tc>
          <w:tcPr>
            <w:tcW w:w="6096" w:type="dxa"/>
            <w:tcBorders>
              <w:bottom w:val="single" w:sz="4" w:space="0" w:color="auto"/>
            </w:tcBorders>
          </w:tcPr>
          <w:p w14:paraId="2042F52D" w14:textId="2D62D9D6" w:rsidR="0098409B" w:rsidRPr="00952E39" w:rsidRDefault="00416191" w:rsidP="008953AB">
            <w:pPr>
              <w:spacing w:after="120"/>
              <w:rPr>
                <w:rFonts w:ascii="Calibri" w:hAnsi="Calibri" w:cs="Calibri"/>
                <w:sz w:val="24"/>
                <w:szCs w:val="24"/>
              </w:rPr>
            </w:pPr>
            <w:r w:rsidRPr="00952E39">
              <w:rPr>
                <w:rFonts w:ascii="Calibri" w:hAnsi="Calibri" w:cs="Calibri"/>
                <w:sz w:val="24"/>
                <w:szCs w:val="24"/>
              </w:rPr>
              <w:t xml:space="preserve">Conduct </w:t>
            </w:r>
            <w:proofErr w:type="gramStart"/>
            <w:r w:rsidRPr="00952E39">
              <w:rPr>
                <w:rFonts w:ascii="Calibri" w:hAnsi="Calibri" w:cs="Calibri"/>
                <w:sz w:val="24"/>
                <w:szCs w:val="24"/>
              </w:rPr>
              <w:t>review</w:t>
            </w:r>
            <w:proofErr w:type="gramEnd"/>
            <w:r w:rsidRPr="00952E39">
              <w:rPr>
                <w:rFonts w:ascii="Calibri" w:hAnsi="Calibri" w:cs="Calibri"/>
                <w:sz w:val="24"/>
                <w:szCs w:val="24"/>
              </w:rPr>
              <w:t xml:space="preserve"> </w:t>
            </w:r>
            <w:r w:rsidR="00F0179E" w:rsidRPr="00952E39">
              <w:rPr>
                <w:rFonts w:ascii="Calibri" w:hAnsi="Calibri" w:cs="Calibri"/>
                <w:sz w:val="24"/>
                <w:szCs w:val="24"/>
              </w:rPr>
              <w:t xml:space="preserve">every </w:t>
            </w:r>
            <w:r w:rsidR="00952E39">
              <w:rPr>
                <w:rFonts w:ascii="Calibri" w:hAnsi="Calibri" w:cs="Calibri"/>
                <w:sz w:val="24"/>
                <w:szCs w:val="24"/>
              </w:rPr>
              <w:t>3-4</w:t>
            </w:r>
            <w:r w:rsidR="00F0179E" w:rsidRPr="00952E39">
              <w:rPr>
                <w:rFonts w:ascii="Calibri" w:hAnsi="Calibri" w:cs="Calibri"/>
                <w:sz w:val="24"/>
                <w:szCs w:val="24"/>
              </w:rPr>
              <w:t xml:space="preserve"> years </w:t>
            </w:r>
            <w:r w:rsidRPr="00952E39">
              <w:rPr>
                <w:rFonts w:ascii="Calibri" w:hAnsi="Calibri" w:cs="Calibri"/>
                <w:sz w:val="24"/>
                <w:szCs w:val="24"/>
              </w:rPr>
              <w:t>of Research Centres to ensure fit with Research Strategy</w:t>
            </w:r>
          </w:p>
        </w:tc>
        <w:tc>
          <w:tcPr>
            <w:tcW w:w="1383" w:type="dxa"/>
            <w:tcBorders>
              <w:bottom w:val="single" w:sz="4" w:space="0" w:color="auto"/>
            </w:tcBorders>
          </w:tcPr>
          <w:p w14:paraId="43C48B2D" w14:textId="159A8B92" w:rsidR="0098409B" w:rsidRPr="00952E39" w:rsidRDefault="00F0179E" w:rsidP="00DE6F0F">
            <w:pPr>
              <w:rPr>
                <w:rFonts w:ascii="Calibri" w:hAnsi="Calibri" w:cs="Calibri"/>
                <w:sz w:val="24"/>
                <w:szCs w:val="24"/>
              </w:rPr>
            </w:pPr>
            <w:r w:rsidRPr="00952E39">
              <w:rPr>
                <w:rFonts w:ascii="Calibri" w:hAnsi="Calibri" w:cs="Calibri"/>
                <w:sz w:val="24"/>
                <w:szCs w:val="24"/>
              </w:rPr>
              <w:t>Every two years</w:t>
            </w:r>
          </w:p>
        </w:tc>
        <w:tc>
          <w:tcPr>
            <w:tcW w:w="1763" w:type="dxa"/>
            <w:tcBorders>
              <w:bottom w:val="single" w:sz="4" w:space="0" w:color="auto"/>
            </w:tcBorders>
          </w:tcPr>
          <w:p w14:paraId="661C104B" w14:textId="5DC3B36F" w:rsidR="0098409B" w:rsidRPr="00952E39" w:rsidRDefault="00C43E9A" w:rsidP="00DE6F0F">
            <w:pPr>
              <w:rPr>
                <w:rFonts w:ascii="Calibri" w:hAnsi="Calibri" w:cs="Calibri"/>
                <w:sz w:val="24"/>
                <w:szCs w:val="24"/>
              </w:rPr>
            </w:pPr>
            <w:r w:rsidRPr="00952E39">
              <w:rPr>
                <w:rFonts w:ascii="Calibri" w:hAnsi="Calibri" w:cs="Calibri"/>
                <w:sz w:val="24"/>
                <w:szCs w:val="24"/>
              </w:rPr>
              <w:t>Head of School, Director of Research and Deputy Director of Research (the latter two to oversee processes)</w:t>
            </w:r>
          </w:p>
        </w:tc>
      </w:tr>
    </w:tbl>
    <w:p w14:paraId="2DD9EFF7" w14:textId="77777777" w:rsidR="0098409B" w:rsidRPr="00952E39" w:rsidRDefault="0098409B" w:rsidP="00402ED5">
      <w:pPr>
        <w:rPr>
          <w:rFonts w:ascii="Calibri" w:hAnsi="Calibri" w:cs="Calibri"/>
        </w:rPr>
      </w:pPr>
    </w:p>
    <w:tbl>
      <w:tblPr>
        <w:tblStyle w:val="TableGrid"/>
        <w:tblW w:w="9242" w:type="dxa"/>
        <w:tblLook w:val="04A0" w:firstRow="1" w:lastRow="0" w:firstColumn="1" w:lastColumn="0" w:noHBand="0" w:noVBand="1"/>
      </w:tblPr>
      <w:tblGrid>
        <w:gridCol w:w="5508"/>
        <w:gridCol w:w="1536"/>
        <w:gridCol w:w="2198"/>
      </w:tblGrid>
      <w:tr w:rsidR="00402ED5" w:rsidRPr="00952E39" w14:paraId="20A5835B" w14:textId="77777777" w:rsidTr="00DE6F0F">
        <w:tc>
          <w:tcPr>
            <w:tcW w:w="9242" w:type="dxa"/>
            <w:gridSpan w:val="3"/>
            <w:tcBorders>
              <w:top w:val="nil"/>
              <w:left w:val="nil"/>
              <w:bottom w:val="single" w:sz="4" w:space="0" w:color="auto"/>
              <w:right w:val="nil"/>
            </w:tcBorders>
          </w:tcPr>
          <w:p w14:paraId="5B533165" w14:textId="31EAD7D9" w:rsidR="00B17C5F" w:rsidRPr="00952E39" w:rsidRDefault="00B17C5F" w:rsidP="00B17C5F">
            <w:pPr>
              <w:pStyle w:val="ListParagraph"/>
              <w:numPr>
                <w:ilvl w:val="0"/>
                <w:numId w:val="3"/>
              </w:numPr>
              <w:rPr>
                <w:rFonts w:ascii="Calibri" w:hAnsi="Calibri" w:cs="Calibri"/>
                <w:sz w:val="24"/>
                <w:szCs w:val="24"/>
              </w:rPr>
            </w:pPr>
            <w:r w:rsidRPr="00952E39">
              <w:rPr>
                <w:rFonts w:ascii="Calibri" w:hAnsi="Calibri" w:cs="Calibri"/>
                <w:sz w:val="24"/>
                <w:szCs w:val="24"/>
              </w:rPr>
              <w:t>To build on the School’s international reputation for research and strengthen the ability of staff to publish at the highest levels of international scholarship</w:t>
            </w:r>
          </w:p>
          <w:p w14:paraId="37DC7C9E" w14:textId="6DFA08A0" w:rsidR="00B17C5F" w:rsidRPr="00952E39" w:rsidRDefault="00B17C5F" w:rsidP="008953AB">
            <w:pPr>
              <w:pStyle w:val="ListParagraph"/>
              <w:spacing w:after="120"/>
              <w:ind w:left="360"/>
              <w:rPr>
                <w:rFonts w:ascii="Calibri" w:hAnsi="Calibri" w:cs="Calibri"/>
                <w:b/>
                <w:bCs/>
                <w:sz w:val="24"/>
                <w:szCs w:val="24"/>
              </w:rPr>
            </w:pPr>
          </w:p>
        </w:tc>
      </w:tr>
      <w:tr w:rsidR="00402ED5" w:rsidRPr="00952E39" w14:paraId="26ACB446" w14:textId="77777777" w:rsidTr="00DE6F0F">
        <w:tc>
          <w:tcPr>
            <w:tcW w:w="5920" w:type="dxa"/>
            <w:tcBorders>
              <w:top w:val="single" w:sz="4" w:space="0" w:color="auto"/>
            </w:tcBorders>
          </w:tcPr>
          <w:p w14:paraId="08ACF841"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Action Point</w:t>
            </w:r>
          </w:p>
        </w:tc>
        <w:tc>
          <w:tcPr>
            <w:tcW w:w="1559" w:type="dxa"/>
            <w:tcBorders>
              <w:top w:val="single" w:sz="4" w:space="0" w:color="auto"/>
            </w:tcBorders>
          </w:tcPr>
          <w:p w14:paraId="6EBC7FF2"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Timescale</w:t>
            </w:r>
          </w:p>
        </w:tc>
        <w:tc>
          <w:tcPr>
            <w:tcW w:w="1763" w:type="dxa"/>
            <w:tcBorders>
              <w:top w:val="single" w:sz="4" w:space="0" w:color="auto"/>
            </w:tcBorders>
          </w:tcPr>
          <w:p w14:paraId="508558CE"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Action by</w:t>
            </w:r>
          </w:p>
        </w:tc>
      </w:tr>
      <w:tr w:rsidR="00402ED5" w:rsidRPr="00952E39" w14:paraId="10AE88A7" w14:textId="77777777" w:rsidTr="00DE6F0F">
        <w:tc>
          <w:tcPr>
            <w:tcW w:w="5920" w:type="dxa"/>
          </w:tcPr>
          <w:p w14:paraId="4A8CA850" w14:textId="6E50D95D" w:rsidR="00402ED5" w:rsidRPr="00952E39" w:rsidRDefault="001E653C" w:rsidP="00DE6F0F">
            <w:pPr>
              <w:rPr>
                <w:rFonts w:ascii="Calibri" w:hAnsi="Calibri" w:cs="Calibri"/>
                <w:sz w:val="24"/>
                <w:szCs w:val="24"/>
              </w:rPr>
            </w:pPr>
            <w:r w:rsidRPr="00952E39">
              <w:rPr>
                <w:rFonts w:ascii="Calibri" w:hAnsi="Calibri" w:cs="Calibri"/>
                <w:sz w:val="24"/>
                <w:szCs w:val="24"/>
              </w:rPr>
              <w:t>Encourage staff</w:t>
            </w:r>
            <w:r w:rsidR="008953AB" w:rsidRPr="00952E39">
              <w:rPr>
                <w:rFonts w:ascii="Calibri" w:hAnsi="Calibri" w:cs="Calibri"/>
                <w:sz w:val="24"/>
                <w:szCs w:val="24"/>
              </w:rPr>
              <w:t xml:space="preserve"> to share early-stage drafts of academic work and grants for informal review</w:t>
            </w:r>
          </w:p>
        </w:tc>
        <w:tc>
          <w:tcPr>
            <w:tcW w:w="1559" w:type="dxa"/>
          </w:tcPr>
          <w:p w14:paraId="1121D876" w14:textId="672D21AF" w:rsidR="00402ED5" w:rsidRPr="00952E39" w:rsidRDefault="008953AB" w:rsidP="00DE6F0F">
            <w:pPr>
              <w:rPr>
                <w:rFonts w:ascii="Calibri" w:hAnsi="Calibri" w:cs="Calibri"/>
                <w:sz w:val="24"/>
                <w:szCs w:val="24"/>
              </w:rPr>
            </w:pPr>
            <w:r w:rsidRPr="00952E39">
              <w:rPr>
                <w:rFonts w:ascii="Calibri" w:hAnsi="Calibri" w:cs="Calibri"/>
                <w:sz w:val="24"/>
                <w:szCs w:val="24"/>
              </w:rPr>
              <w:t>Continuous</w:t>
            </w:r>
          </w:p>
        </w:tc>
        <w:tc>
          <w:tcPr>
            <w:tcW w:w="1763" w:type="dxa"/>
          </w:tcPr>
          <w:p w14:paraId="5A79E0B6" w14:textId="4015C323" w:rsidR="00402ED5" w:rsidRPr="00952E39" w:rsidRDefault="008953AB" w:rsidP="00DE6F0F">
            <w:pPr>
              <w:rPr>
                <w:rFonts w:ascii="Calibri" w:hAnsi="Calibri" w:cs="Calibri"/>
                <w:sz w:val="24"/>
                <w:szCs w:val="24"/>
              </w:rPr>
            </w:pPr>
            <w:r w:rsidRPr="00952E39">
              <w:rPr>
                <w:rFonts w:ascii="Calibri" w:hAnsi="Calibri" w:cs="Calibri"/>
                <w:sz w:val="24"/>
                <w:szCs w:val="24"/>
              </w:rPr>
              <w:t>Director of Research, Deputy Director of Research</w:t>
            </w:r>
          </w:p>
        </w:tc>
      </w:tr>
      <w:tr w:rsidR="00402ED5" w:rsidRPr="00952E39" w14:paraId="6647EF85" w14:textId="77777777" w:rsidTr="00DE6F0F">
        <w:tc>
          <w:tcPr>
            <w:tcW w:w="5920" w:type="dxa"/>
          </w:tcPr>
          <w:p w14:paraId="12BD1CAD" w14:textId="595C166E" w:rsidR="00402ED5" w:rsidRPr="00952E39" w:rsidRDefault="001E653C" w:rsidP="00DE6F0F">
            <w:pPr>
              <w:rPr>
                <w:rFonts w:ascii="Calibri" w:hAnsi="Calibri" w:cs="Calibri"/>
                <w:sz w:val="24"/>
                <w:szCs w:val="24"/>
              </w:rPr>
            </w:pPr>
            <w:r w:rsidRPr="00952E39">
              <w:rPr>
                <w:rFonts w:ascii="Calibri" w:hAnsi="Calibri" w:cs="Calibri"/>
                <w:sz w:val="24"/>
                <w:szCs w:val="24"/>
              </w:rPr>
              <w:t>Train addition</w:t>
            </w:r>
            <w:r w:rsidR="00F42DAF" w:rsidRPr="00952E39">
              <w:rPr>
                <w:rFonts w:ascii="Calibri" w:hAnsi="Calibri" w:cs="Calibri"/>
                <w:sz w:val="24"/>
                <w:szCs w:val="24"/>
              </w:rPr>
              <w:t xml:space="preserve">al staff for REF reading </w:t>
            </w:r>
          </w:p>
        </w:tc>
        <w:tc>
          <w:tcPr>
            <w:tcW w:w="1559" w:type="dxa"/>
          </w:tcPr>
          <w:p w14:paraId="7C01E08D" w14:textId="53AB81EC" w:rsidR="00402ED5" w:rsidRPr="00952E39" w:rsidRDefault="008953AB" w:rsidP="00DE6F0F">
            <w:pPr>
              <w:rPr>
                <w:rFonts w:ascii="Calibri" w:hAnsi="Calibri" w:cs="Calibri"/>
                <w:sz w:val="24"/>
                <w:szCs w:val="24"/>
              </w:rPr>
            </w:pPr>
            <w:r w:rsidRPr="00952E39">
              <w:rPr>
                <w:rFonts w:ascii="Calibri" w:hAnsi="Calibri" w:cs="Calibri"/>
                <w:sz w:val="24"/>
                <w:szCs w:val="24"/>
              </w:rPr>
              <w:t>Annual</w:t>
            </w:r>
          </w:p>
        </w:tc>
        <w:tc>
          <w:tcPr>
            <w:tcW w:w="1763" w:type="dxa"/>
          </w:tcPr>
          <w:p w14:paraId="6F107AE7" w14:textId="0B7F9668" w:rsidR="00402ED5" w:rsidRPr="00952E39" w:rsidRDefault="008953AB" w:rsidP="00DE6F0F">
            <w:pPr>
              <w:rPr>
                <w:rFonts w:ascii="Calibri" w:hAnsi="Calibri" w:cs="Calibri"/>
                <w:sz w:val="24"/>
                <w:szCs w:val="24"/>
              </w:rPr>
            </w:pPr>
            <w:r w:rsidRPr="00952E39">
              <w:rPr>
                <w:rFonts w:ascii="Calibri" w:hAnsi="Calibri" w:cs="Calibri"/>
                <w:sz w:val="24"/>
                <w:szCs w:val="24"/>
              </w:rPr>
              <w:t>Head of School, Director of Research</w:t>
            </w:r>
            <w:r w:rsidR="001E4C00" w:rsidRPr="00952E39">
              <w:rPr>
                <w:rFonts w:ascii="Calibri" w:hAnsi="Calibri" w:cs="Calibri"/>
                <w:sz w:val="24"/>
                <w:szCs w:val="24"/>
              </w:rPr>
              <w:t xml:space="preserve"> / [REF]</w:t>
            </w:r>
          </w:p>
        </w:tc>
      </w:tr>
      <w:tr w:rsidR="00402ED5" w:rsidRPr="00952E39" w14:paraId="27497875" w14:textId="77777777" w:rsidTr="00DE6F0F">
        <w:tc>
          <w:tcPr>
            <w:tcW w:w="5920" w:type="dxa"/>
            <w:tcBorders>
              <w:bottom w:val="single" w:sz="4" w:space="0" w:color="auto"/>
            </w:tcBorders>
          </w:tcPr>
          <w:p w14:paraId="5C5725FF" w14:textId="02E940B0" w:rsidR="00402ED5" w:rsidRPr="00952E39" w:rsidRDefault="00416191" w:rsidP="008953AB">
            <w:pPr>
              <w:rPr>
                <w:rFonts w:ascii="Calibri" w:hAnsi="Calibri" w:cs="Calibri"/>
                <w:sz w:val="24"/>
                <w:szCs w:val="24"/>
              </w:rPr>
            </w:pPr>
            <w:r w:rsidRPr="00952E39">
              <w:rPr>
                <w:rFonts w:ascii="Calibri" w:hAnsi="Calibri" w:cs="Calibri"/>
                <w:sz w:val="24"/>
                <w:szCs w:val="24"/>
              </w:rPr>
              <w:t xml:space="preserve">Organise annual research meeting for </w:t>
            </w:r>
            <w:r w:rsidR="00B60D3E" w:rsidRPr="00952E39">
              <w:rPr>
                <w:rFonts w:ascii="Calibri" w:hAnsi="Calibri" w:cs="Calibri"/>
                <w:sz w:val="24"/>
                <w:szCs w:val="24"/>
              </w:rPr>
              <w:t xml:space="preserve">research active </w:t>
            </w:r>
            <w:r w:rsidRPr="00952E39">
              <w:rPr>
                <w:rFonts w:ascii="Calibri" w:hAnsi="Calibri" w:cs="Calibri"/>
                <w:sz w:val="24"/>
                <w:szCs w:val="24"/>
              </w:rPr>
              <w:t xml:space="preserve">individual staff </w:t>
            </w:r>
            <w:r w:rsidR="00F0179E" w:rsidRPr="00952E39">
              <w:rPr>
                <w:rFonts w:ascii="Calibri" w:hAnsi="Calibri" w:cs="Calibri"/>
                <w:sz w:val="24"/>
                <w:szCs w:val="24"/>
              </w:rPr>
              <w:t xml:space="preserve">(including those on fixed-term contracts) </w:t>
            </w:r>
            <w:r w:rsidRPr="00952E39">
              <w:rPr>
                <w:rFonts w:ascii="Calibri" w:hAnsi="Calibri" w:cs="Calibri"/>
                <w:sz w:val="24"/>
                <w:szCs w:val="24"/>
              </w:rPr>
              <w:t xml:space="preserve">to discuss </w:t>
            </w:r>
            <w:proofErr w:type="gramStart"/>
            <w:r w:rsidRPr="00952E39">
              <w:rPr>
                <w:rFonts w:ascii="Calibri" w:hAnsi="Calibri" w:cs="Calibri"/>
                <w:sz w:val="24"/>
                <w:szCs w:val="24"/>
              </w:rPr>
              <w:t>short, medium and long term</w:t>
            </w:r>
            <w:proofErr w:type="gramEnd"/>
            <w:r w:rsidRPr="00952E39">
              <w:rPr>
                <w:rFonts w:ascii="Calibri" w:hAnsi="Calibri" w:cs="Calibri"/>
                <w:sz w:val="24"/>
                <w:szCs w:val="24"/>
              </w:rPr>
              <w:t xml:space="preserve"> goals; support from the School and forthcoming opportunities</w:t>
            </w:r>
          </w:p>
        </w:tc>
        <w:tc>
          <w:tcPr>
            <w:tcW w:w="1559" w:type="dxa"/>
            <w:tcBorders>
              <w:bottom w:val="single" w:sz="4" w:space="0" w:color="auto"/>
            </w:tcBorders>
          </w:tcPr>
          <w:p w14:paraId="1659999B" w14:textId="76FD20AB" w:rsidR="00402ED5" w:rsidRPr="00952E39" w:rsidRDefault="00416191" w:rsidP="00DE6F0F">
            <w:pPr>
              <w:rPr>
                <w:rFonts w:ascii="Calibri" w:hAnsi="Calibri" w:cs="Calibri"/>
                <w:sz w:val="24"/>
                <w:szCs w:val="24"/>
              </w:rPr>
            </w:pPr>
            <w:r w:rsidRPr="00952E39">
              <w:rPr>
                <w:rFonts w:ascii="Calibri" w:hAnsi="Calibri" w:cs="Calibri"/>
                <w:sz w:val="24"/>
                <w:szCs w:val="24"/>
              </w:rPr>
              <w:t>Annual</w:t>
            </w:r>
          </w:p>
        </w:tc>
        <w:tc>
          <w:tcPr>
            <w:tcW w:w="1763" w:type="dxa"/>
            <w:tcBorders>
              <w:bottom w:val="single" w:sz="4" w:space="0" w:color="auto"/>
            </w:tcBorders>
          </w:tcPr>
          <w:p w14:paraId="06668D5A" w14:textId="3D8FDAE2" w:rsidR="00402ED5" w:rsidRPr="00952E39" w:rsidRDefault="00416191" w:rsidP="00DE6F0F">
            <w:pPr>
              <w:rPr>
                <w:rFonts w:ascii="Calibri" w:hAnsi="Calibri" w:cs="Calibri"/>
                <w:sz w:val="24"/>
                <w:szCs w:val="24"/>
              </w:rPr>
            </w:pPr>
            <w:r w:rsidRPr="00952E39">
              <w:rPr>
                <w:rFonts w:ascii="Calibri" w:hAnsi="Calibri" w:cs="Calibri"/>
                <w:sz w:val="24"/>
                <w:szCs w:val="24"/>
              </w:rPr>
              <w:t>Director of Research, Deputy Director of Research</w:t>
            </w:r>
          </w:p>
        </w:tc>
      </w:tr>
      <w:tr w:rsidR="0037500C" w:rsidRPr="00952E39" w14:paraId="15FB43C0" w14:textId="77777777" w:rsidTr="00DE6F0F">
        <w:tc>
          <w:tcPr>
            <w:tcW w:w="5920" w:type="dxa"/>
            <w:tcBorders>
              <w:bottom w:val="single" w:sz="4" w:space="0" w:color="auto"/>
            </w:tcBorders>
          </w:tcPr>
          <w:p w14:paraId="0D0C04E0" w14:textId="7019BAF6" w:rsidR="0037500C" w:rsidRPr="00952E39" w:rsidRDefault="0037500C" w:rsidP="008953AB">
            <w:pPr>
              <w:rPr>
                <w:rFonts w:ascii="Calibri" w:hAnsi="Calibri" w:cs="Calibri"/>
                <w:sz w:val="24"/>
                <w:szCs w:val="24"/>
              </w:rPr>
            </w:pPr>
            <w:r w:rsidRPr="00952E39">
              <w:rPr>
                <w:rFonts w:ascii="Calibri" w:hAnsi="Calibri" w:cs="Calibri"/>
                <w:sz w:val="24"/>
                <w:szCs w:val="24"/>
              </w:rPr>
              <w:lastRenderedPageBreak/>
              <w:t xml:space="preserve">Ensure that the School’s communications and outward-facing profile (including on social media) is optimised </w:t>
            </w:r>
          </w:p>
        </w:tc>
        <w:tc>
          <w:tcPr>
            <w:tcW w:w="1559" w:type="dxa"/>
            <w:tcBorders>
              <w:bottom w:val="single" w:sz="4" w:space="0" w:color="auto"/>
            </w:tcBorders>
          </w:tcPr>
          <w:p w14:paraId="2123C404" w14:textId="5E760730" w:rsidR="0037500C" w:rsidRPr="00952E39" w:rsidRDefault="0037500C" w:rsidP="00DE6F0F">
            <w:pPr>
              <w:rPr>
                <w:rFonts w:ascii="Calibri" w:hAnsi="Calibri" w:cs="Calibri"/>
                <w:sz w:val="24"/>
                <w:szCs w:val="24"/>
              </w:rPr>
            </w:pPr>
            <w:r w:rsidRPr="00952E39">
              <w:rPr>
                <w:rFonts w:ascii="Calibri" w:hAnsi="Calibri" w:cs="Calibri"/>
                <w:sz w:val="24"/>
                <w:szCs w:val="24"/>
              </w:rPr>
              <w:t>Continuous</w:t>
            </w:r>
          </w:p>
        </w:tc>
        <w:tc>
          <w:tcPr>
            <w:tcW w:w="1763" w:type="dxa"/>
            <w:tcBorders>
              <w:bottom w:val="single" w:sz="4" w:space="0" w:color="auto"/>
            </w:tcBorders>
          </w:tcPr>
          <w:p w14:paraId="7423A198" w14:textId="484B761D" w:rsidR="0037500C" w:rsidRPr="00952E39" w:rsidRDefault="0037500C" w:rsidP="00DE6F0F">
            <w:pPr>
              <w:rPr>
                <w:rFonts w:ascii="Calibri" w:hAnsi="Calibri" w:cs="Calibri"/>
                <w:sz w:val="24"/>
                <w:szCs w:val="24"/>
              </w:rPr>
            </w:pPr>
            <w:r w:rsidRPr="00952E39">
              <w:rPr>
                <w:rFonts w:ascii="Calibri" w:hAnsi="Calibri" w:cs="Calibri"/>
                <w:sz w:val="24"/>
                <w:szCs w:val="24"/>
              </w:rPr>
              <w:t>Communications Officer</w:t>
            </w:r>
          </w:p>
        </w:tc>
      </w:tr>
      <w:tr w:rsidR="00402ED5" w:rsidRPr="00952E39" w14:paraId="54DA92D3" w14:textId="77777777" w:rsidTr="00DE6F0F">
        <w:tc>
          <w:tcPr>
            <w:tcW w:w="9242" w:type="dxa"/>
            <w:gridSpan w:val="3"/>
            <w:tcBorders>
              <w:top w:val="single" w:sz="4" w:space="0" w:color="auto"/>
              <w:left w:val="nil"/>
              <w:bottom w:val="single" w:sz="4" w:space="0" w:color="auto"/>
              <w:right w:val="nil"/>
            </w:tcBorders>
          </w:tcPr>
          <w:p w14:paraId="489EF446" w14:textId="77777777" w:rsidR="00402ED5" w:rsidRPr="00952E39" w:rsidRDefault="00402ED5" w:rsidP="00DE6F0F">
            <w:pPr>
              <w:pStyle w:val="ListParagraph"/>
              <w:ind w:left="360"/>
              <w:rPr>
                <w:rFonts w:ascii="Calibri" w:hAnsi="Calibri" w:cs="Calibri"/>
                <w:b/>
                <w:bCs/>
                <w:sz w:val="24"/>
                <w:szCs w:val="24"/>
              </w:rPr>
            </w:pPr>
          </w:p>
          <w:p w14:paraId="663D1B2A" w14:textId="77777777" w:rsidR="00B17C5F" w:rsidRPr="00952E39" w:rsidRDefault="00B17C5F" w:rsidP="00B17C5F">
            <w:pPr>
              <w:rPr>
                <w:rFonts w:ascii="Calibri" w:hAnsi="Calibri" w:cs="Calibri"/>
                <w:b/>
                <w:bCs/>
                <w:sz w:val="24"/>
                <w:szCs w:val="24"/>
              </w:rPr>
            </w:pPr>
          </w:p>
          <w:p w14:paraId="0A59004A" w14:textId="1B56E19F" w:rsidR="00402ED5" w:rsidRPr="00952E39" w:rsidRDefault="00B17C5F" w:rsidP="00B17C5F">
            <w:pPr>
              <w:pStyle w:val="ListParagraph"/>
              <w:numPr>
                <w:ilvl w:val="0"/>
                <w:numId w:val="3"/>
              </w:numPr>
              <w:rPr>
                <w:rFonts w:ascii="Calibri" w:hAnsi="Calibri" w:cs="Calibri"/>
                <w:sz w:val="24"/>
                <w:szCs w:val="24"/>
              </w:rPr>
            </w:pPr>
            <w:r w:rsidRPr="00952E39">
              <w:rPr>
                <w:rFonts w:ascii="Calibri" w:hAnsi="Calibri" w:cs="Calibri"/>
                <w:sz w:val="24"/>
                <w:szCs w:val="24"/>
              </w:rPr>
              <w:t>To consolidate the School’s impact and KE experience and expertise, and ensure success is recognised at an individual and institutional level</w:t>
            </w:r>
          </w:p>
          <w:p w14:paraId="150DFE1E" w14:textId="36AF9E4F" w:rsidR="00B17C5F" w:rsidRPr="00952E39" w:rsidRDefault="00B17C5F" w:rsidP="008953AB">
            <w:pPr>
              <w:pStyle w:val="ListParagraph"/>
              <w:ind w:left="360"/>
              <w:rPr>
                <w:rFonts w:ascii="Calibri" w:hAnsi="Calibri" w:cs="Calibri"/>
                <w:sz w:val="24"/>
                <w:szCs w:val="24"/>
              </w:rPr>
            </w:pPr>
          </w:p>
        </w:tc>
      </w:tr>
      <w:tr w:rsidR="00402ED5" w:rsidRPr="00952E39" w14:paraId="2CE82E68" w14:textId="77777777" w:rsidTr="00DE6F0F">
        <w:tc>
          <w:tcPr>
            <w:tcW w:w="5920" w:type="dxa"/>
            <w:tcBorders>
              <w:top w:val="single" w:sz="4" w:space="0" w:color="auto"/>
            </w:tcBorders>
          </w:tcPr>
          <w:p w14:paraId="603F7EE5"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Action Point</w:t>
            </w:r>
          </w:p>
        </w:tc>
        <w:tc>
          <w:tcPr>
            <w:tcW w:w="1559" w:type="dxa"/>
            <w:tcBorders>
              <w:top w:val="single" w:sz="4" w:space="0" w:color="auto"/>
            </w:tcBorders>
          </w:tcPr>
          <w:p w14:paraId="7EF3F3A6"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Timescale</w:t>
            </w:r>
          </w:p>
        </w:tc>
        <w:tc>
          <w:tcPr>
            <w:tcW w:w="1763" w:type="dxa"/>
            <w:tcBorders>
              <w:top w:val="single" w:sz="4" w:space="0" w:color="auto"/>
            </w:tcBorders>
          </w:tcPr>
          <w:p w14:paraId="6FD72D0D"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Action by</w:t>
            </w:r>
          </w:p>
        </w:tc>
      </w:tr>
      <w:tr w:rsidR="00402ED5" w:rsidRPr="00952E39" w14:paraId="3C677F01" w14:textId="77777777" w:rsidTr="00DE6F0F">
        <w:tc>
          <w:tcPr>
            <w:tcW w:w="5920" w:type="dxa"/>
          </w:tcPr>
          <w:p w14:paraId="624907CC" w14:textId="37C7845D" w:rsidR="00402ED5" w:rsidRPr="00952E39" w:rsidRDefault="0098409B" w:rsidP="00DE6F0F">
            <w:pPr>
              <w:rPr>
                <w:rFonts w:ascii="Calibri" w:hAnsi="Calibri" w:cs="Calibri"/>
                <w:sz w:val="24"/>
                <w:szCs w:val="24"/>
              </w:rPr>
            </w:pPr>
            <w:r w:rsidRPr="00952E39">
              <w:rPr>
                <w:rFonts w:ascii="Calibri" w:hAnsi="Calibri" w:cs="Calibri"/>
                <w:sz w:val="24"/>
                <w:szCs w:val="24"/>
              </w:rPr>
              <w:t>To conclu</w:t>
            </w:r>
            <w:r w:rsidR="001E653C" w:rsidRPr="00952E39">
              <w:rPr>
                <w:rFonts w:ascii="Calibri" w:hAnsi="Calibri" w:cs="Calibri"/>
                <w:sz w:val="24"/>
                <w:szCs w:val="24"/>
              </w:rPr>
              <w:t>de, after consultation with staff and stakeholders, a School KE strategy</w:t>
            </w:r>
          </w:p>
        </w:tc>
        <w:tc>
          <w:tcPr>
            <w:tcW w:w="1559" w:type="dxa"/>
          </w:tcPr>
          <w:p w14:paraId="26BD09E8" w14:textId="749FB21D" w:rsidR="00402ED5" w:rsidRPr="00952E39" w:rsidRDefault="001E653C" w:rsidP="00DE6F0F">
            <w:pPr>
              <w:rPr>
                <w:rFonts w:ascii="Calibri" w:hAnsi="Calibri" w:cs="Calibri"/>
                <w:sz w:val="24"/>
                <w:szCs w:val="24"/>
              </w:rPr>
            </w:pPr>
            <w:r w:rsidRPr="00952E39">
              <w:rPr>
                <w:rFonts w:ascii="Calibri" w:hAnsi="Calibri" w:cs="Calibri"/>
                <w:sz w:val="24"/>
                <w:szCs w:val="24"/>
              </w:rPr>
              <w:t>2021-22</w:t>
            </w:r>
          </w:p>
        </w:tc>
        <w:tc>
          <w:tcPr>
            <w:tcW w:w="1763" w:type="dxa"/>
          </w:tcPr>
          <w:p w14:paraId="3D31D93B" w14:textId="7FC06298" w:rsidR="00402ED5" w:rsidRPr="00952E39" w:rsidRDefault="001E653C" w:rsidP="00DE6F0F">
            <w:pPr>
              <w:rPr>
                <w:rFonts w:ascii="Calibri" w:hAnsi="Calibri" w:cs="Calibri"/>
                <w:sz w:val="24"/>
                <w:szCs w:val="24"/>
              </w:rPr>
            </w:pPr>
            <w:r w:rsidRPr="00952E39">
              <w:rPr>
                <w:rFonts w:ascii="Calibri" w:hAnsi="Calibri" w:cs="Calibri"/>
                <w:sz w:val="24"/>
                <w:szCs w:val="24"/>
              </w:rPr>
              <w:t>Director of KE</w:t>
            </w:r>
          </w:p>
        </w:tc>
      </w:tr>
      <w:tr w:rsidR="00402ED5" w:rsidRPr="00952E39" w14:paraId="10AD7D22" w14:textId="77777777" w:rsidTr="00DE6F0F">
        <w:tc>
          <w:tcPr>
            <w:tcW w:w="5920" w:type="dxa"/>
          </w:tcPr>
          <w:p w14:paraId="698029A5" w14:textId="42A0588C" w:rsidR="00402ED5" w:rsidRPr="00952E39" w:rsidRDefault="001E653C" w:rsidP="00DE6F0F">
            <w:pPr>
              <w:rPr>
                <w:rFonts w:ascii="Calibri" w:hAnsi="Calibri" w:cs="Calibri"/>
                <w:sz w:val="24"/>
                <w:szCs w:val="24"/>
              </w:rPr>
            </w:pPr>
            <w:r w:rsidRPr="00952E39">
              <w:rPr>
                <w:rFonts w:ascii="Calibri" w:hAnsi="Calibri" w:cs="Calibri"/>
                <w:sz w:val="24"/>
                <w:szCs w:val="24"/>
              </w:rPr>
              <w:t>To identify staff with potential future REF impact case studies and direct staff to University resources</w:t>
            </w:r>
          </w:p>
        </w:tc>
        <w:tc>
          <w:tcPr>
            <w:tcW w:w="1559" w:type="dxa"/>
          </w:tcPr>
          <w:p w14:paraId="74CA8870" w14:textId="251BFF57" w:rsidR="00402ED5" w:rsidRPr="00952E39" w:rsidRDefault="001E653C" w:rsidP="00DE6F0F">
            <w:pPr>
              <w:rPr>
                <w:rFonts w:ascii="Calibri" w:hAnsi="Calibri" w:cs="Calibri"/>
                <w:sz w:val="24"/>
                <w:szCs w:val="24"/>
              </w:rPr>
            </w:pPr>
            <w:r w:rsidRPr="00952E39">
              <w:rPr>
                <w:rFonts w:ascii="Calibri" w:hAnsi="Calibri" w:cs="Calibri"/>
                <w:sz w:val="24"/>
                <w:szCs w:val="24"/>
              </w:rPr>
              <w:t>Annual</w:t>
            </w:r>
          </w:p>
        </w:tc>
        <w:tc>
          <w:tcPr>
            <w:tcW w:w="1763" w:type="dxa"/>
          </w:tcPr>
          <w:p w14:paraId="302C9B4A" w14:textId="66A4BCC4" w:rsidR="001E4C00" w:rsidRPr="00952E39" w:rsidRDefault="001E4C00" w:rsidP="00DE6F0F">
            <w:pPr>
              <w:rPr>
                <w:rFonts w:ascii="Calibri" w:hAnsi="Calibri" w:cs="Calibri"/>
                <w:sz w:val="24"/>
                <w:szCs w:val="24"/>
              </w:rPr>
            </w:pPr>
            <w:r w:rsidRPr="00952E39">
              <w:rPr>
                <w:rFonts w:ascii="Calibri" w:hAnsi="Calibri" w:cs="Calibri"/>
                <w:sz w:val="24"/>
                <w:szCs w:val="24"/>
              </w:rPr>
              <w:t xml:space="preserve">Director / Deputy Director of </w:t>
            </w:r>
            <w:proofErr w:type="gramStart"/>
            <w:r w:rsidRPr="00952E39">
              <w:rPr>
                <w:rFonts w:ascii="Calibri" w:hAnsi="Calibri" w:cs="Calibri"/>
                <w:sz w:val="24"/>
                <w:szCs w:val="24"/>
              </w:rPr>
              <w:t>KE;</w:t>
            </w:r>
            <w:proofErr w:type="gramEnd"/>
          </w:p>
          <w:p w14:paraId="18E1274D" w14:textId="70600F01" w:rsidR="00402ED5" w:rsidRPr="00952E39" w:rsidRDefault="001E653C" w:rsidP="00DE6F0F">
            <w:pPr>
              <w:rPr>
                <w:rFonts w:ascii="Calibri" w:hAnsi="Calibri" w:cs="Calibri"/>
                <w:sz w:val="24"/>
                <w:szCs w:val="24"/>
              </w:rPr>
            </w:pPr>
            <w:r w:rsidRPr="00952E39">
              <w:rPr>
                <w:rFonts w:ascii="Calibri" w:hAnsi="Calibri" w:cs="Calibri"/>
                <w:sz w:val="24"/>
                <w:szCs w:val="24"/>
              </w:rPr>
              <w:t>Director of Research, Deputy Director Research, Research Centre Directors</w:t>
            </w:r>
          </w:p>
        </w:tc>
      </w:tr>
      <w:tr w:rsidR="00402ED5" w:rsidRPr="00952E39" w14:paraId="38350B6E" w14:textId="77777777" w:rsidTr="00DE6F0F">
        <w:tc>
          <w:tcPr>
            <w:tcW w:w="5920" w:type="dxa"/>
          </w:tcPr>
          <w:p w14:paraId="6AA631C1" w14:textId="53F20A45" w:rsidR="00402ED5" w:rsidRPr="00952E39" w:rsidRDefault="00F42DAF" w:rsidP="00DE6F0F">
            <w:pPr>
              <w:rPr>
                <w:rFonts w:ascii="Calibri" w:hAnsi="Calibri" w:cs="Calibri"/>
                <w:sz w:val="24"/>
                <w:szCs w:val="24"/>
              </w:rPr>
            </w:pPr>
            <w:r w:rsidRPr="00952E39">
              <w:rPr>
                <w:rFonts w:ascii="Calibri" w:hAnsi="Calibri" w:cs="Calibri"/>
                <w:sz w:val="24"/>
                <w:szCs w:val="24"/>
              </w:rPr>
              <w:t>Ensure web and social media content accurately reflects current School and Research Centre activity</w:t>
            </w:r>
          </w:p>
        </w:tc>
        <w:tc>
          <w:tcPr>
            <w:tcW w:w="1559" w:type="dxa"/>
          </w:tcPr>
          <w:p w14:paraId="04CF9FFE" w14:textId="0554D7E6" w:rsidR="00402ED5" w:rsidRPr="00952E39" w:rsidRDefault="00F42DAF" w:rsidP="00DE6F0F">
            <w:pPr>
              <w:rPr>
                <w:rFonts w:ascii="Calibri" w:hAnsi="Calibri" w:cs="Calibri"/>
                <w:sz w:val="24"/>
                <w:szCs w:val="24"/>
              </w:rPr>
            </w:pPr>
            <w:r w:rsidRPr="00952E39">
              <w:rPr>
                <w:rFonts w:ascii="Calibri" w:hAnsi="Calibri" w:cs="Calibri"/>
                <w:sz w:val="24"/>
                <w:szCs w:val="24"/>
              </w:rPr>
              <w:t>Continuous</w:t>
            </w:r>
          </w:p>
        </w:tc>
        <w:tc>
          <w:tcPr>
            <w:tcW w:w="1763" w:type="dxa"/>
          </w:tcPr>
          <w:p w14:paraId="699B6BB2" w14:textId="7C2DB1DB" w:rsidR="00402ED5" w:rsidRPr="00952E39" w:rsidRDefault="00F42DAF" w:rsidP="00DE6F0F">
            <w:pPr>
              <w:rPr>
                <w:rFonts w:ascii="Calibri" w:hAnsi="Calibri" w:cs="Calibri"/>
                <w:sz w:val="24"/>
                <w:szCs w:val="24"/>
              </w:rPr>
            </w:pPr>
            <w:r w:rsidRPr="00952E39">
              <w:rPr>
                <w:rFonts w:ascii="Calibri" w:hAnsi="Calibri" w:cs="Calibri"/>
                <w:sz w:val="24"/>
                <w:szCs w:val="24"/>
              </w:rPr>
              <w:t>Research Centre Directors</w:t>
            </w:r>
            <w:r w:rsidR="0056713B" w:rsidRPr="00952E39">
              <w:rPr>
                <w:rFonts w:ascii="Calibri" w:hAnsi="Calibri" w:cs="Calibri"/>
                <w:sz w:val="24"/>
                <w:szCs w:val="24"/>
              </w:rPr>
              <w:t>,</w:t>
            </w:r>
          </w:p>
          <w:p w14:paraId="572C42B5" w14:textId="11BE6F53" w:rsidR="001E4C00" w:rsidRPr="00952E39" w:rsidRDefault="001E4C00" w:rsidP="00DE6F0F">
            <w:pPr>
              <w:rPr>
                <w:rFonts w:ascii="Calibri" w:hAnsi="Calibri" w:cs="Calibri"/>
                <w:sz w:val="24"/>
                <w:szCs w:val="24"/>
              </w:rPr>
            </w:pPr>
            <w:r w:rsidRPr="00952E39">
              <w:rPr>
                <w:rFonts w:ascii="Calibri" w:hAnsi="Calibri" w:cs="Calibri"/>
                <w:sz w:val="24"/>
                <w:szCs w:val="24"/>
              </w:rPr>
              <w:t>School Manager</w:t>
            </w:r>
            <w:r w:rsidR="0056713B" w:rsidRPr="00952E39">
              <w:rPr>
                <w:rFonts w:ascii="Calibri" w:hAnsi="Calibri" w:cs="Calibri"/>
                <w:sz w:val="24"/>
                <w:szCs w:val="24"/>
              </w:rPr>
              <w:t xml:space="preserve"> and </w:t>
            </w:r>
          </w:p>
          <w:p w14:paraId="2C3995D0" w14:textId="61B1FCA2" w:rsidR="001E4C00" w:rsidRPr="00952E39" w:rsidRDefault="001E4C00" w:rsidP="0056713B">
            <w:pPr>
              <w:rPr>
                <w:rFonts w:ascii="Calibri" w:hAnsi="Calibri" w:cs="Calibri"/>
                <w:sz w:val="24"/>
                <w:szCs w:val="24"/>
              </w:rPr>
            </w:pPr>
            <w:r w:rsidRPr="00952E39">
              <w:rPr>
                <w:rFonts w:ascii="Calibri" w:hAnsi="Calibri" w:cs="Calibri"/>
                <w:sz w:val="24"/>
                <w:szCs w:val="24"/>
              </w:rPr>
              <w:t>Communications Officer</w:t>
            </w:r>
          </w:p>
        </w:tc>
      </w:tr>
      <w:tr w:rsidR="00402ED5" w:rsidRPr="00952E39" w14:paraId="665F772B" w14:textId="77777777" w:rsidTr="00DE6F0F">
        <w:tc>
          <w:tcPr>
            <w:tcW w:w="9242" w:type="dxa"/>
            <w:gridSpan w:val="3"/>
            <w:tcBorders>
              <w:top w:val="single" w:sz="4" w:space="0" w:color="auto"/>
              <w:left w:val="nil"/>
              <w:bottom w:val="single" w:sz="4" w:space="0" w:color="auto"/>
              <w:right w:val="nil"/>
            </w:tcBorders>
          </w:tcPr>
          <w:p w14:paraId="2474B1D3" w14:textId="77777777" w:rsidR="00402ED5" w:rsidRPr="00952E39" w:rsidRDefault="00402ED5" w:rsidP="00DE6F0F">
            <w:pPr>
              <w:pStyle w:val="ListParagraph"/>
              <w:ind w:left="360"/>
              <w:rPr>
                <w:rFonts w:ascii="Calibri" w:hAnsi="Calibri" w:cs="Calibri"/>
                <w:b/>
                <w:bCs/>
                <w:sz w:val="24"/>
                <w:szCs w:val="24"/>
              </w:rPr>
            </w:pPr>
          </w:p>
          <w:p w14:paraId="2BD6B160" w14:textId="716AF5AB" w:rsidR="008953AB" w:rsidRPr="00952E39" w:rsidRDefault="00B17C5F" w:rsidP="008953AB">
            <w:pPr>
              <w:pStyle w:val="ListParagraph"/>
              <w:numPr>
                <w:ilvl w:val="0"/>
                <w:numId w:val="3"/>
              </w:numPr>
              <w:rPr>
                <w:rFonts w:ascii="Calibri" w:hAnsi="Calibri" w:cs="Calibri"/>
                <w:sz w:val="24"/>
                <w:szCs w:val="24"/>
              </w:rPr>
            </w:pPr>
            <w:r w:rsidRPr="00952E39">
              <w:rPr>
                <w:rFonts w:ascii="Calibri" w:hAnsi="Calibri" w:cs="Calibri"/>
                <w:sz w:val="24"/>
                <w:szCs w:val="24"/>
              </w:rPr>
              <w:t>To increase the involvement of the School in major, University-led research grant applications, in line with Vision 2025, the Reid Report Recommendations (2020) and increase individual and collaborative success in grant capture</w:t>
            </w:r>
          </w:p>
        </w:tc>
      </w:tr>
      <w:tr w:rsidR="00402ED5" w:rsidRPr="00952E39" w14:paraId="2DC51B09" w14:textId="77777777" w:rsidTr="00DE6F0F">
        <w:tc>
          <w:tcPr>
            <w:tcW w:w="5920" w:type="dxa"/>
            <w:tcBorders>
              <w:top w:val="single" w:sz="4" w:space="0" w:color="auto"/>
            </w:tcBorders>
          </w:tcPr>
          <w:p w14:paraId="776B9328"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Action Point</w:t>
            </w:r>
          </w:p>
        </w:tc>
        <w:tc>
          <w:tcPr>
            <w:tcW w:w="1559" w:type="dxa"/>
            <w:tcBorders>
              <w:top w:val="single" w:sz="4" w:space="0" w:color="auto"/>
            </w:tcBorders>
          </w:tcPr>
          <w:p w14:paraId="74F968A7"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Timescale</w:t>
            </w:r>
          </w:p>
        </w:tc>
        <w:tc>
          <w:tcPr>
            <w:tcW w:w="1763" w:type="dxa"/>
            <w:tcBorders>
              <w:top w:val="single" w:sz="4" w:space="0" w:color="auto"/>
            </w:tcBorders>
          </w:tcPr>
          <w:p w14:paraId="1F30CA14"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Action by</w:t>
            </w:r>
          </w:p>
        </w:tc>
      </w:tr>
      <w:tr w:rsidR="00402ED5" w:rsidRPr="00952E39" w14:paraId="3D1C3AAF" w14:textId="77777777" w:rsidTr="00DE6F0F">
        <w:tc>
          <w:tcPr>
            <w:tcW w:w="5920" w:type="dxa"/>
          </w:tcPr>
          <w:p w14:paraId="7DAB03D4" w14:textId="6FFA3087" w:rsidR="00402ED5" w:rsidRPr="00952E39" w:rsidRDefault="001E653C" w:rsidP="00DE6F0F">
            <w:pPr>
              <w:rPr>
                <w:rFonts w:ascii="Calibri" w:hAnsi="Calibri" w:cs="Calibri"/>
                <w:sz w:val="24"/>
                <w:szCs w:val="24"/>
              </w:rPr>
            </w:pPr>
            <w:r w:rsidRPr="00952E39">
              <w:rPr>
                <w:rFonts w:ascii="Calibri" w:hAnsi="Calibri" w:cs="Calibri"/>
                <w:sz w:val="24"/>
                <w:szCs w:val="24"/>
              </w:rPr>
              <w:t>Circulate internal opportunities to all staff and encourage attendance at University-level information meetings</w:t>
            </w:r>
          </w:p>
        </w:tc>
        <w:tc>
          <w:tcPr>
            <w:tcW w:w="1559" w:type="dxa"/>
          </w:tcPr>
          <w:p w14:paraId="24BEDADF" w14:textId="1D1586FC" w:rsidR="00402ED5" w:rsidRPr="00952E39" w:rsidRDefault="001E653C" w:rsidP="00DE6F0F">
            <w:pPr>
              <w:rPr>
                <w:rFonts w:ascii="Calibri" w:hAnsi="Calibri" w:cs="Calibri"/>
                <w:sz w:val="24"/>
                <w:szCs w:val="24"/>
              </w:rPr>
            </w:pPr>
            <w:r w:rsidRPr="00952E39">
              <w:rPr>
                <w:rFonts w:ascii="Calibri" w:hAnsi="Calibri" w:cs="Calibri"/>
                <w:sz w:val="24"/>
                <w:szCs w:val="24"/>
              </w:rPr>
              <w:t>Continuous</w:t>
            </w:r>
          </w:p>
        </w:tc>
        <w:tc>
          <w:tcPr>
            <w:tcW w:w="1763" w:type="dxa"/>
          </w:tcPr>
          <w:p w14:paraId="48DF646B" w14:textId="4F9AF2F3" w:rsidR="00402ED5" w:rsidRPr="00952E39" w:rsidRDefault="001E4C00" w:rsidP="00DE6F0F">
            <w:pPr>
              <w:rPr>
                <w:rFonts w:ascii="Calibri" w:hAnsi="Calibri" w:cs="Calibri"/>
                <w:sz w:val="24"/>
                <w:szCs w:val="24"/>
              </w:rPr>
            </w:pPr>
            <w:r w:rsidRPr="00952E39">
              <w:rPr>
                <w:rFonts w:ascii="Calibri" w:hAnsi="Calibri" w:cs="Calibri"/>
                <w:sz w:val="24"/>
                <w:szCs w:val="24"/>
              </w:rPr>
              <w:t xml:space="preserve">Head of School; </w:t>
            </w:r>
            <w:r w:rsidR="001E653C" w:rsidRPr="00952E39">
              <w:rPr>
                <w:rFonts w:ascii="Calibri" w:hAnsi="Calibri" w:cs="Calibri"/>
                <w:sz w:val="24"/>
                <w:szCs w:val="24"/>
              </w:rPr>
              <w:t>Director of Research, Research Centre Directors</w:t>
            </w:r>
            <w:r w:rsidR="00952E39" w:rsidRPr="00952E39">
              <w:rPr>
                <w:rFonts w:ascii="Calibri" w:hAnsi="Calibri" w:cs="Calibri"/>
                <w:sz w:val="24"/>
                <w:szCs w:val="24"/>
              </w:rPr>
              <w:t xml:space="preserve">; </w:t>
            </w:r>
            <w:proofErr w:type="spellStart"/>
            <w:r w:rsidR="00952E39" w:rsidRPr="00952E39">
              <w:rPr>
                <w:rFonts w:ascii="Calibri" w:hAnsi="Calibri" w:cs="Calibri"/>
                <w:sz w:val="24"/>
                <w:szCs w:val="24"/>
              </w:rPr>
              <w:t>FraKet</w:t>
            </w:r>
            <w:proofErr w:type="spellEnd"/>
          </w:p>
        </w:tc>
      </w:tr>
      <w:tr w:rsidR="00402ED5" w:rsidRPr="00952E39" w14:paraId="7F728994" w14:textId="77777777" w:rsidTr="00DE6F0F">
        <w:tc>
          <w:tcPr>
            <w:tcW w:w="5920" w:type="dxa"/>
            <w:tcBorders>
              <w:bottom w:val="single" w:sz="4" w:space="0" w:color="auto"/>
            </w:tcBorders>
          </w:tcPr>
          <w:p w14:paraId="7F040EEE" w14:textId="5243CA3E" w:rsidR="00402ED5" w:rsidRPr="00952E39" w:rsidRDefault="00F42DAF" w:rsidP="00DE6F0F">
            <w:pPr>
              <w:rPr>
                <w:rFonts w:ascii="Calibri" w:hAnsi="Calibri" w:cs="Calibri"/>
                <w:sz w:val="24"/>
                <w:szCs w:val="24"/>
              </w:rPr>
            </w:pPr>
            <w:r w:rsidRPr="00952E39">
              <w:rPr>
                <w:rFonts w:ascii="Calibri" w:hAnsi="Calibri" w:cs="Calibri"/>
                <w:sz w:val="24"/>
                <w:szCs w:val="24"/>
              </w:rPr>
              <w:t xml:space="preserve">Organise periodic sessions to share best practice in grant writing, to increase confidence and awareness of timescales, costs etc. </w:t>
            </w:r>
          </w:p>
        </w:tc>
        <w:tc>
          <w:tcPr>
            <w:tcW w:w="1559" w:type="dxa"/>
            <w:tcBorders>
              <w:bottom w:val="single" w:sz="4" w:space="0" w:color="auto"/>
            </w:tcBorders>
          </w:tcPr>
          <w:p w14:paraId="59BDCBFA" w14:textId="03BE2146" w:rsidR="00402ED5" w:rsidRPr="00952E39" w:rsidRDefault="00F42DAF" w:rsidP="00DE6F0F">
            <w:pPr>
              <w:rPr>
                <w:rFonts w:ascii="Calibri" w:hAnsi="Calibri" w:cs="Calibri"/>
                <w:sz w:val="24"/>
                <w:szCs w:val="24"/>
              </w:rPr>
            </w:pPr>
            <w:r w:rsidRPr="00952E39">
              <w:rPr>
                <w:rFonts w:ascii="Calibri" w:hAnsi="Calibri" w:cs="Calibri"/>
                <w:sz w:val="24"/>
                <w:szCs w:val="24"/>
              </w:rPr>
              <w:t>Continuous</w:t>
            </w:r>
          </w:p>
        </w:tc>
        <w:tc>
          <w:tcPr>
            <w:tcW w:w="1763" w:type="dxa"/>
            <w:tcBorders>
              <w:bottom w:val="single" w:sz="4" w:space="0" w:color="auto"/>
            </w:tcBorders>
          </w:tcPr>
          <w:p w14:paraId="05FB0F3D" w14:textId="71E3962E" w:rsidR="00402ED5" w:rsidRPr="00952E39" w:rsidRDefault="00F42DAF" w:rsidP="00DE6F0F">
            <w:pPr>
              <w:rPr>
                <w:rFonts w:ascii="Calibri" w:hAnsi="Calibri" w:cs="Calibri"/>
                <w:sz w:val="24"/>
                <w:szCs w:val="24"/>
              </w:rPr>
            </w:pPr>
            <w:r w:rsidRPr="00952E39">
              <w:rPr>
                <w:rFonts w:ascii="Calibri" w:hAnsi="Calibri" w:cs="Calibri"/>
                <w:sz w:val="24"/>
                <w:szCs w:val="24"/>
              </w:rPr>
              <w:t>Director of Research</w:t>
            </w:r>
            <w:r w:rsidR="0056713B" w:rsidRPr="00952E39">
              <w:rPr>
                <w:rFonts w:ascii="Calibri" w:hAnsi="Calibri" w:cs="Calibri"/>
                <w:sz w:val="24"/>
                <w:szCs w:val="24"/>
              </w:rPr>
              <w:t xml:space="preserve">, </w:t>
            </w:r>
          </w:p>
          <w:p w14:paraId="6147180D" w14:textId="651E3CFB" w:rsidR="001E4C00" w:rsidRPr="00952E39" w:rsidRDefault="001E4C00" w:rsidP="00DE6F0F">
            <w:pPr>
              <w:rPr>
                <w:rFonts w:ascii="Calibri" w:hAnsi="Calibri" w:cs="Calibri"/>
                <w:sz w:val="24"/>
                <w:szCs w:val="24"/>
              </w:rPr>
            </w:pPr>
            <w:r w:rsidRPr="00952E39">
              <w:rPr>
                <w:rFonts w:ascii="Calibri" w:hAnsi="Calibri" w:cs="Calibri"/>
                <w:sz w:val="24"/>
                <w:szCs w:val="24"/>
              </w:rPr>
              <w:t>Seminar coordinator</w:t>
            </w:r>
          </w:p>
        </w:tc>
      </w:tr>
      <w:tr w:rsidR="00402ED5" w:rsidRPr="00952E39" w14:paraId="44873FE0" w14:textId="77777777" w:rsidTr="00DE6F0F">
        <w:tc>
          <w:tcPr>
            <w:tcW w:w="5920" w:type="dxa"/>
            <w:tcBorders>
              <w:bottom w:val="single" w:sz="4" w:space="0" w:color="auto"/>
            </w:tcBorders>
          </w:tcPr>
          <w:p w14:paraId="6814F151" w14:textId="1D886E0B" w:rsidR="00402ED5" w:rsidRPr="00952E39" w:rsidRDefault="00402ED5" w:rsidP="00DE6F0F">
            <w:pPr>
              <w:rPr>
                <w:rFonts w:ascii="Calibri" w:hAnsi="Calibri" w:cs="Calibri"/>
                <w:sz w:val="24"/>
                <w:szCs w:val="24"/>
              </w:rPr>
            </w:pPr>
            <w:r w:rsidRPr="00952E39">
              <w:rPr>
                <w:rFonts w:ascii="Calibri" w:hAnsi="Calibri" w:cs="Calibri"/>
                <w:sz w:val="24"/>
                <w:szCs w:val="24"/>
              </w:rPr>
              <w:t xml:space="preserve">Engage fully with opportunities offered through the </w:t>
            </w:r>
            <w:r w:rsidR="001E653C" w:rsidRPr="00952E39">
              <w:rPr>
                <w:rFonts w:ascii="Calibri" w:hAnsi="Calibri" w:cs="Calibri"/>
                <w:sz w:val="24"/>
                <w:szCs w:val="24"/>
              </w:rPr>
              <w:t xml:space="preserve">Overseas </w:t>
            </w:r>
            <w:r w:rsidRPr="00952E39">
              <w:rPr>
                <w:rFonts w:ascii="Calibri" w:hAnsi="Calibri" w:cs="Calibri"/>
                <w:sz w:val="24"/>
                <w:szCs w:val="24"/>
              </w:rPr>
              <w:t>Strategic Partnership established by the University</w:t>
            </w:r>
          </w:p>
        </w:tc>
        <w:tc>
          <w:tcPr>
            <w:tcW w:w="1559" w:type="dxa"/>
            <w:tcBorders>
              <w:bottom w:val="single" w:sz="4" w:space="0" w:color="auto"/>
            </w:tcBorders>
          </w:tcPr>
          <w:p w14:paraId="067AA8B1" w14:textId="0CB33043" w:rsidR="00402ED5" w:rsidRPr="00952E39" w:rsidRDefault="006C019E" w:rsidP="00DE6F0F">
            <w:pPr>
              <w:rPr>
                <w:rFonts w:ascii="Calibri" w:hAnsi="Calibri" w:cs="Calibri"/>
                <w:sz w:val="24"/>
                <w:szCs w:val="24"/>
              </w:rPr>
            </w:pPr>
            <w:r w:rsidRPr="00952E39">
              <w:rPr>
                <w:rFonts w:ascii="Calibri" w:hAnsi="Calibri" w:cs="Calibri"/>
                <w:sz w:val="24"/>
                <w:szCs w:val="24"/>
              </w:rPr>
              <w:t>Continuous</w:t>
            </w:r>
          </w:p>
        </w:tc>
        <w:tc>
          <w:tcPr>
            <w:tcW w:w="1763" w:type="dxa"/>
            <w:tcBorders>
              <w:bottom w:val="single" w:sz="4" w:space="0" w:color="auto"/>
            </w:tcBorders>
          </w:tcPr>
          <w:p w14:paraId="2AA62FDF" w14:textId="6AA5BB88" w:rsidR="00402ED5" w:rsidRPr="00952E39" w:rsidRDefault="00F42DAF" w:rsidP="00DE6F0F">
            <w:pPr>
              <w:rPr>
                <w:rFonts w:ascii="Calibri" w:hAnsi="Calibri" w:cs="Calibri"/>
                <w:sz w:val="24"/>
                <w:szCs w:val="24"/>
              </w:rPr>
            </w:pPr>
            <w:r w:rsidRPr="00952E39">
              <w:rPr>
                <w:rFonts w:ascii="Calibri" w:hAnsi="Calibri" w:cs="Calibri"/>
                <w:sz w:val="24"/>
                <w:szCs w:val="24"/>
              </w:rPr>
              <w:t>Director of Internationalisation, Director of Planning and Operations</w:t>
            </w:r>
          </w:p>
        </w:tc>
      </w:tr>
      <w:tr w:rsidR="00402ED5" w:rsidRPr="00952E39" w14:paraId="6ABE01F8" w14:textId="77777777" w:rsidTr="00DE6F0F">
        <w:tc>
          <w:tcPr>
            <w:tcW w:w="9242" w:type="dxa"/>
            <w:gridSpan w:val="3"/>
            <w:tcBorders>
              <w:top w:val="single" w:sz="4" w:space="0" w:color="auto"/>
              <w:left w:val="nil"/>
              <w:bottom w:val="single" w:sz="4" w:space="0" w:color="auto"/>
              <w:right w:val="nil"/>
            </w:tcBorders>
          </w:tcPr>
          <w:p w14:paraId="13AA4141" w14:textId="77777777" w:rsidR="00402ED5" w:rsidRPr="00952E39" w:rsidRDefault="00402ED5" w:rsidP="00DE6F0F">
            <w:pPr>
              <w:pStyle w:val="ListParagraph"/>
              <w:ind w:left="360"/>
              <w:rPr>
                <w:rFonts w:ascii="Calibri" w:hAnsi="Calibri" w:cs="Calibri"/>
                <w:b/>
                <w:bCs/>
                <w:sz w:val="24"/>
                <w:szCs w:val="24"/>
              </w:rPr>
            </w:pPr>
          </w:p>
          <w:p w14:paraId="69593284" w14:textId="0DB2829F" w:rsidR="00B17C5F" w:rsidRPr="00952E39" w:rsidRDefault="00B17C5F" w:rsidP="008953AB">
            <w:pPr>
              <w:pStyle w:val="ListParagraph"/>
              <w:numPr>
                <w:ilvl w:val="0"/>
                <w:numId w:val="3"/>
              </w:numPr>
              <w:rPr>
                <w:rFonts w:ascii="Calibri" w:hAnsi="Calibri" w:cs="Calibri"/>
                <w:sz w:val="24"/>
                <w:szCs w:val="24"/>
              </w:rPr>
            </w:pPr>
            <w:r w:rsidRPr="00952E39">
              <w:rPr>
                <w:rFonts w:ascii="Calibri" w:hAnsi="Calibri" w:cs="Calibri"/>
                <w:sz w:val="24"/>
                <w:szCs w:val="24"/>
              </w:rPr>
              <w:t>To continue to support an inclusive research culture in the School and enhance relationships with parts of the University that support research</w:t>
            </w:r>
          </w:p>
          <w:p w14:paraId="05961C08" w14:textId="6AD5065C" w:rsidR="00402ED5" w:rsidRPr="00952E39" w:rsidRDefault="00402ED5" w:rsidP="008953AB">
            <w:pPr>
              <w:spacing w:after="120"/>
              <w:rPr>
                <w:rFonts w:ascii="Calibri" w:hAnsi="Calibri" w:cs="Calibri"/>
                <w:b/>
                <w:bCs/>
                <w:sz w:val="24"/>
                <w:szCs w:val="24"/>
              </w:rPr>
            </w:pPr>
          </w:p>
        </w:tc>
      </w:tr>
      <w:tr w:rsidR="00402ED5" w:rsidRPr="00952E39" w14:paraId="408E80E5" w14:textId="77777777" w:rsidTr="00DE6F0F">
        <w:tc>
          <w:tcPr>
            <w:tcW w:w="5920" w:type="dxa"/>
            <w:tcBorders>
              <w:top w:val="single" w:sz="4" w:space="0" w:color="auto"/>
            </w:tcBorders>
          </w:tcPr>
          <w:p w14:paraId="165E8799"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lastRenderedPageBreak/>
              <w:t>Action Point</w:t>
            </w:r>
          </w:p>
        </w:tc>
        <w:tc>
          <w:tcPr>
            <w:tcW w:w="1559" w:type="dxa"/>
            <w:tcBorders>
              <w:top w:val="single" w:sz="4" w:space="0" w:color="auto"/>
            </w:tcBorders>
          </w:tcPr>
          <w:p w14:paraId="4384BFC4"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Timescale</w:t>
            </w:r>
          </w:p>
        </w:tc>
        <w:tc>
          <w:tcPr>
            <w:tcW w:w="1763" w:type="dxa"/>
            <w:tcBorders>
              <w:top w:val="single" w:sz="4" w:space="0" w:color="auto"/>
            </w:tcBorders>
          </w:tcPr>
          <w:p w14:paraId="56BD8B1B" w14:textId="77777777" w:rsidR="00402ED5" w:rsidRPr="00952E39" w:rsidRDefault="00402ED5" w:rsidP="00DE6F0F">
            <w:pPr>
              <w:rPr>
                <w:rFonts w:ascii="Calibri" w:hAnsi="Calibri" w:cs="Calibri"/>
                <w:i/>
                <w:iCs/>
                <w:sz w:val="24"/>
                <w:szCs w:val="24"/>
              </w:rPr>
            </w:pPr>
            <w:r w:rsidRPr="00952E39">
              <w:rPr>
                <w:rFonts w:ascii="Calibri" w:hAnsi="Calibri" w:cs="Calibri"/>
                <w:i/>
                <w:iCs/>
                <w:sz w:val="24"/>
                <w:szCs w:val="24"/>
              </w:rPr>
              <w:t>Action by</w:t>
            </w:r>
          </w:p>
        </w:tc>
      </w:tr>
      <w:tr w:rsidR="00402ED5" w:rsidRPr="00952E39" w14:paraId="59B06E55" w14:textId="77777777" w:rsidTr="00DE6F0F">
        <w:tc>
          <w:tcPr>
            <w:tcW w:w="5920" w:type="dxa"/>
          </w:tcPr>
          <w:p w14:paraId="35F3B539" w14:textId="72915385" w:rsidR="00402ED5" w:rsidRPr="00952E39" w:rsidRDefault="001E653C" w:rsidP="00DE6F0F">
            <w:pPr>
              <w:rPr>
                <w:rFonts w:ascii="Calibri" w:hAnsi="Calibri" w:cs="Calibri"/>
                <w:sz w:val="24"/>
                <w:szCs w:val="24"/>
              </w:rPr>
            </w:pPr>
            <w:r w:rsidRPr="00952E39">
              <w:rPr>
                <w:rFonts w:ascii="Calibri" w:hAnsi="Calibri" w:cs="Calibri"/>
                <w:sz w:val="24"/>
                <w:szCs w:val="24"/>
              </w:rPr>
              <w:t xml:space="preserve">Arrange annual meeting with </w:t>
            </w:r>
            <w:proofErr w:type="spellStart"/>
            <w:r w:rsidRPr="00952E39">
              <w:rPr>
                <w:rFonts w:ascii="Calibri" w:hAnsi="Calibri" w:cs="Calibri"/>
                <w:sz w:val="24"/>
                <w:szCs w:val="24"/>
              </w:rPr>
              <w:t>RaKET</w:t>
            </w:r>
            <w:proofErr w:type="spellEnd"/>
            <w:r w:rsidRPr="00952E39">
              <w:rPr>
                <w:rFonts w:ascii="Calibri" w:hAnsi="Calibri" w:cs="Calibri"/>
                <w:sz w:val="24"/>
                <w:szCs w:val="24"/>
              </w:rPr>
              <w:t xml:space="preserve"> to share new developments and interests in the School’s research profile, discuss how to facilitate smoother processes for grant applications and post-grant awards</w:t>
            </w:r>
          </w:p>
        </w:tc>
        <w:tc>
          <w:tcPr>
            <w:tcW w:w="1559" w:type="dxa"/>
          </w:tcPr>
          <w:p w14:paraId="617C11FD" w14:textId="10FBBDF8" w:rsidR="00402ED5" w:rsidRPr="00952E39" w:rsidRDefault="001E653C" w:rsidP="00DE6F0F">
            <w:pPr>
              <w:rPr>
                <w:rFonts w:ascii="Calibri" w:hAnsi="Calibri" w:cs="Calibri"/>
                <w:sz w:val="24"/>
                <w:szCs w:val="24"/>
              </w:rPr>
            </w:pPr>
            <w:r w:rsidRPr="00952E39">
              <w:rPr>
                <w:rFonts w:ascii="Calibri" w:hAnsi="Calibri" w:cs="Calibri"/>
                <w:sz w:val="24"/>
                <w:szCs w:val="24"/>
              </w:rPr>
              <w:t>Annual</w:t>
            </w:r>
          </w:p>
        </w:tc>
        <w:tc>
          <w:tcPr>
            <w:tcW w:w="1763" w:type="dxa"/>
          </w:tcPr>
          <w:p w14:paraId="6FCAFF48" w14:textId="214A9410" w:rsidR="00402ED5" w:rsidRPr="00952E39" w:rsidRDefault="001E653C" w:rsidP="00DE6F0F">
            <w:pPr>
              <w:rPr>
                <w:rFonts w:ascii="Calibri" w:hAnsi="Calibri" w:cs="Calibri"/>
                <w:sz w:val="24"/>
                <w:szCs w:val="24"/>
              </w:rPr>
            </w:pPr>
            <w:r w:rsidRPr="00952E39">
              <w:rPr>
                <w:rFonts w:ascii="Calibri" w:hAnsi="Calibri" w:cs="Calibri"/>
                <w:sz w:val="24"/>
                <w:szCs w:val="24"/>
              </w:rPr>
              <w:t>Director of Research</w:t>
            </w:r>
          </w:p>
        </w:tc>
      </w:tr>
      <w:tr w:rsidR="00402ED5" w:rsidRPr="00952E39" w14:paraId="25088AAE" w14:textId="77777777" w:rsidTr="00DE6F0F">
        <w:tc>
          <w:tcPr>
            <w:tcW w:w="5920" w:type="dxa"/>
          </w:tcPr>
          <w:p w14:paraId="60859269" w14:textId="2A3AAF28" w:rsidR="00402ED5" w:rsidRPr="00952E39" w:rsidRDefault="00416191" w:rsidP="00DE6F0F">
            <w:pPr>
              <w:rPr>
                <w:rFonts w:ascii="Calibri" w:hAnsi="Calibri" w:cs="Calibri"/>
                <w:sz w:val="24"/>
                <w:szCs w:val="24"/>
              </w:rPr>
            </w:pPr>
            <w:r w:rsidRPr="00952E39">
              <w:rPr>
                <w:rFonts w:ascii="Calibri" w:hAnsi="Calibri" w:cs="Calibri"/>
                <w:sz w:val="24"/>
                <w:szCs w:val="24"/>
              </w:rPr>
              <w:t xml:space="preserve">Organise regular meetings with key HaSS and University academic colleagues, to ensure awareness of School’s research profile and that School is ‘plugged in’ to University </w:t>
            </w:r>
            <w:proofErr w:type="gramStart"/>
            <w:r w:rsidRPr="00952E39">
              <w:rPr>
                <w:rFonts w:ascii="Calibri" w:hAnsi="Calibri" w:cs="Calibri"/>
                <w:sz w:val="24"/>
                <w:szCs w:val="24"/>
              </w:rPr>
              <w:t>initiatives  (</w:t>
            </w:r>
            <w:proofErr w:type="gramEnd"/>
            <w:r w:rsidRPr="00952E39">
              <w:rPr>
                <w:rFonts w:ascii="Calibri" w:hAnsi="Calibri" w:cs="Calibri"/>
                <w:sz w:val="24"/>
                <w:szCs w:val="24"/>
              </w:rPr>
              <w:t>e.g. Director of Research, Associate Dean for KE etc)</w:t>
            </w:r>
          </w:p>
        </w:tc>
        <w:tc>
          <w:tcPr>
            <w:tcW w:w="1559" w:type="dxa"/>
          </w:tcPr>
          <w:p w14:paraId="7F4EB6AF" w14:textId="1B1B2C26" w:rsidR="00402ED5" w:rsidRPr="00952E39" w:rsidRDefault="00416191" w:rsidP="00DE6F0F">
            <w:pPr>
              <w:rPr>
                <w:rFonts w:ascii="Calibri" w:hAnsi="Calibri" w:cs="Calibri"/>
                <w:sz w:val="24"/>
                <w:szCs w:val="24"/>
              </w:rPr>
            </w:pPr>
            <w:r w:rsidRPr="00952E39">
              <w:rPr>
                <w:rFonts w:ascii="Calibri" w:hAnsi="Calibri" w:cs="Calibri"/>
                <w:sz w:val="24"/>
                <w:szCs w:val="24"/>
              </w:rPr>
              <w:t>Continuous</w:t>
            </w:r>
          </w:p>
        </w:tc>
        <w:tc>
          <w:tcPr>
            <w:tcW w:w="1763" w:type="dxa"/>
          </w:tcPr>
          <w:p w14:paraId="09C35109" w14:textId="456610E9" w:rsidR="00402ED5" w:rsidRPr="00952E39" w:rsidRDefault="00416191" w:rsidP="00DE6F0F">
            <w:pPr>
              <w:rPr>
                <w:rFonts w:ascii="Calibri" w:hAnsi="Calibri" w:cs="Calibri"/>
                <w:sz w:val="24"/>
                <w:szCs w:val="24"/>
              </w:rPr>
            </w:pPr>
            <w:r w:rsidRPr="00952E39">
              <w:rPr>
                <w:rFonts w:ascii="Calibri" w:hAnsi="Calibri" w:cs="Calibri"/>
                <w:sz w:val="24"/>
                <w:szCs w:val="24"/>
              </w:rPr>
              <w:t>Director of Research</w:t>
            </w:r>
          </w:p>
        </w:tc>
      </w:tr>
      <w:tr w:rsidR="00402ED5" w:rsidRPr="00952E39" w14:paraId="1E99AE07" w14:textId="77777777" w:rsidTr="00DE6F0F">
        <w:tc>
          <w:tcPr>
            <w:tcW w:w="5920" w:type="dxa"/>
          </w:tcPr>
          <w:p w14:paraId="53BD08D4" w14:textId="2BD2413F" w:rsidR="00402ED5" w:rsidRPr="00952E39" w:rsidRDefault="0037500C" w:rsidP="00DE6F0F">
            <w:pPr>
              <w:rPr>
                <w:rFonts w:ascii="Calibri" w:hAnsi="Calibri" w:cs="Calibri"/>
                <w:sz w:val="24"/>
                <w:szCs w:val="24"/>
              </w:rPr>
            </w:pPr>
            <w:r w:rsidRPr="00952E39">
              <w:rPr>
                <w:rFonts w:ascii="Calibri" w:hAnsi="Calibri" w:cs="Calibri"/>
                <w:sz w:val="24"/>
                <w:szCs w:val="24"/>
              </w:rPr>
              <w:t>To ensure that School resources are used in a way that supports University and School Equalities policies, and that staff are directed to appropriate forms of research support</w:t>
            </w:r>
          </w:p>
        </w:tc>
        <w:tc>
          <w:tcPr>
            <w:tcW w:w="1559" w:type="dxa"/>
          </w:tcPr>
          <w:p w14:paraId="1608A222" w14:textId="77777777" w:rsidR="00402ED5" w:rsidRPr="00952E39" w:rsidRDefault="00402ED5" w:rsidP="00DE6F0F">
            <w:pPr>
              <w:rPr>
                <w:rFonts w:ascii="Calibri" w:hAnsi="Calibri" w:cs="Calibri"/>
                <w:sz w:val="24"/>
                <w:szCs w:val="24"/>
              </w:rPr>
            </w:pPr>
          </w:p>
        </w:tc>
        <w:tc>
          <w:tcPr>
            <w:tcW w:w="1763" w:type="dxa"/>
          </w:tcPr>
          <w:p w14:paraId="6440A227" w14:textId="69D27043" w:rsidR="00402ED5" w:rsidRPr="00952E39" w:rsidRDefault="001E4C00" w:rsidP="00DE6F0F">
            <w:pPr>
              <w:rPr>
                <w:rFonts w:ascii="Calibri" w:hAnsi="Calibri" w:cs="Calibri"/>
                <w:sz w:val="24"/>
                <w:szCs w:val="24"/>
              </w:rPr>
            </w:pPr>
            <w:r w:rsidRPr="00952E39">
              <w:rPr>
                <w:rFonts w:ascii="Calibri" w:hAnsi="Calibri" w:cs="Calibri"/>
                <w:sz w:val="24"/>
                <w:szCs w:val="24"/>
              </w:rPr>
              <w:t xml:space="preserve">Director of </w:t>
            </w:r>
            <w:r w:rsidR="0037500C" w:rsidRPr="00952E39">
              <w:rPr>
                <w:rFonts w:ascii="Calibri" w:hAnsi="Calibri" w:cs="Calibri"/>
                <w:sz w:val="24"/>
                <w:szCs w:val="24"/>
              </w:rPr>
              <w:t>Equalities</w:t>
            </w:r>
          </w:p>
        </w:tc>
      </w:tr>
      <w:tr w:rsidR="00402ED5" w:rsidRPr="00952E39" w14:paraId="55825BDB" w14:textId="77777777" w:rsidTr="00DE6F0F">
        <w:tc>
          <w:tcPr>
            <w:tcW w:w="5920" w:type="dxa"/>
            <w:tcBorders>
              <w:bottom w:val="single" w:sz="4" w:space="0" w:color="auto"/>
            </w:tcBorders>
          </w:tcPr>
          <w:p w14:paraId="08B5FFB0" w14:textId="14BAD845" w:rsidR="00402ED5" w:rsidRPr="00952E39" w:rsidRDefault="00402ED5" w:rsidP="00DE6F0F">
            <w:pPr>
              <w:rPr>
                <w:rFonts w:ascii="Calibri" w:hAnsi="Calibri" w:cs="Calibri"/>
                <w:sz w:val="24"/>
                <w:szCs w:val="24"/>
              </w:rPr>
            </w:pPr>
          </w:p>
        </w:tc>
        <w:tc>
          <w:tcPr>
            <w:tcW w:w="1559" w:type="dxa"/>
            <w:tcBorders>
              <w:bottom w:val="single" w:sz="4" w:space="0" w:color="auto"/>
            </w:tcBorders>
          </w:tcPr>
          <w:p w14:paraId="491EBECE" w14:textId="77777777" w:rsidR="00402ED5" w:rsidRPr="00952E39" w:rsidRDefault="00402ED5" w:rsidP="00DE6F0F">
            <w:pPr>
              <w:rPr>
                <w:rFonts w:ascii="Calibri" w:hAnsi="Calibri" w:cs="Calibri"/>
                <w:sz w:val="24"/>
                <w:szCs w:val="24"/>
              </w:rPr>
            </w:pPr>
          </w:p>
        </w:tc>
        <w:tc>
          <w:tcPr>
            <w:tcW w:w="1763" w:type="dxa"/>
            <w:tcBorders>
              <w:bottom w:val="single" w:sz="4" w:space="0" w:color="auto"/>
            </w:tcBorders>
          </w:tcPr>
          <w:p w14:paraId="3B8AC3B2" w14:textId="77777777" w:rsidR="00402ED5" w:rsidRPr="00952E39" w:rsidRDefault="00402ED5" w:rsidP="00DE6F0F">
            <w:pPr>
              <w:rPr>
                <w:rFonts w:ascii="Calibri" w:hAnsi="Calibri" w:cs="Calibri"/>
                <w:sz w:val="24"/>
                <w:szCs w:val="24"/>
              </w:rPr>
            </w:pPr>
          </w:p>
        </w:tc>
      </w:tr>
      <w:tr w:rsidR="00402ED5" w:rsidRPr="00952E39" w14:paraId="2F89F2A9" w14:textId="77777777" w:rsidTr="00DE6F0F">
        <w:tc>
          <w:tcPr>
            <w:tcW w:w="9242" w:type="dxa"/>
            <w:gridSpan w:val="3"/>
            <w:tcBorders>
              <w:top w:val="single" w:sz="4" w:space="0" w:color="auto"/>
              <w:left w:val="nil"/>
              <w:bottom w:val="single" w:sz="4" w:space="0" w:color="auto"/>
              <w:right w:val="nil"/>
            </w:tcBorders>
          </w:tcPr>
          <w:p w14:paraId="050AB262" w14:textId="77777777" w:rsidR="00402ED5" w:rsidRPr="00952E39" w:rsidRDefault="00402ED5" w:rsidP="00DE6F0F">
            <w:pPr>
              <w:pStyle w:val="ListParagraph"/>
              <w:ind w:left="360"/>
              <w:rPr>
                <w:rFonts w:ascii="Calibri" w:hAnsi="Calibri" w:cs="Calibri"/>
                <w:b/>
                <w:bCs/>
                <w:sz w:val="24"/>
                <w:szCs w:val="24"/>
              </w:rPr>
            </w:pPr>
          </w:p>
          <w:p w14:paraId="354EA982" w14:textId="77777777" w:rsidR="00B17C5F" w:rsidRPr="00952E39" w:rsidRDefault="00B17C5F" w:rsidP="00B17C5F">
            <w:pPr>
              <w:pStyle w:val="ListParagraph"/>
              <w:numPr>
                <w:ilvl w:val="0"/>
                <w:numId w:val="3"/>
              </w:numPr>
              <w:rPr>
                <w:rFonts w:ascii="Calibri" w:hAnsi="Calibri" w:cs="Calibri"/>
                <w:sz w:val="24"/>
                <w:szCs w:val="24"/>
              </w:rPr>
            </w:pPr>
            <w:r w:rsidRPr="00952E39">
              <w:rPr>
                <w:rFonts w:ascii="Calibri" w:hAnsi="Calibri" w:cs="Calibri"/>
                <w:sz w:val="24"/>
                <w:szCs w:val="24"/>
              </w:rPr>
              <w:t xml:space="preserve">To grow the proportion of research active staff in the School, </w:t>
            </w:r>
            <w:proofErr w:type="gramStart"/>
            <w:r w:rsidRPr="00952E39">
              <w:rPr>
                <w:rFonts w:ascii="Calibri" w:hAnsi="Calibri" w:cs="Calibri"/>
                <w:sz w:val="24"/>
                <w:szCs w:val="24"/>
              </w:rPr>
              <w:t>taking into account</w:t>
            </w:r>
            <w:proofErr w:type="gramEnd"/>
            <w:r w:rsidRPr="00952E39">
              <w:rPr>
                <w:rFonts w:ascii="Calibri" w:hAnsi="Calibri" w:cs="Calibri"/>
                <w:sz w:val="24"/>
                <w:szCs w:val="24"/>
              </w:rPr>
              <w:t xml:space="preserve"> teaching needs and the synergies that exist between high quality teaching and research.</w:t>
            </w:r>
          </w:p>
          <w:p w14:paraId="066A1A91" w14:textId="41EAD4D8" w:rsidR="00402ED5" w:rsidRPr="00952E39" w:rsidRDefault="00402ED5" w:rsidP="008953AB">
            <w:pPr>
              <w:pStyle w:val="ListParagraph"/>
              <w:spacing w:after="120"/>
              <w:ind w:left="360"/>
              <w:rPr>
                <w:rFonts w:ascii="Calibri" w:hAnsi="Calibri" w:cs="Calibri"/>
                <w:b/>
                <w:bCs/>
                <w:sz w:val="24"/>
                <w:szCs w:val="24"/>
              </w:rPr>
            </w:pPr>
          </w:p>
        </w:tc>
      </w:tr>
      <w:tr w:rsidR="00402ED5" w:rsidRPr="00952E39" w14:paraId="0EA3CBAF" w14:textId="77777777" w:rsidTr="00DE6F0F">
        <w:tc>
          <w:tcPr>
            <w:tcW w:w="5920" w:type="dxa"/>
            <w:tcBorders>
              <w:top w:val="single" w:sz="4" w:space="0" w:color="auto"/>
            </w:tcBorders>
          </w:tcPr>
          <w:p w14:paraId="5A2F09E5" w14:textId="77777777" w:rsidR="00402ED5" w:rsidRPr="00952E39" w:rsidRDefault="00402ED5" w:rsidP="00DE6F0F">
            <w:pPr>
              <w:rPr>
                <w:rFonts w:ascii="Calibri" w:hAnsi="Calibri" w:cs="Calibri"/>
                <w:sz w:val="24"/>
                <w:szCs w:val="24"/>
              </w:rPr>
            </w:pPr>
            <w:r w:rsidRPr="00952E39">
              <w:rPr>
                <w:rFonts w:ascii="Calibri" w:hAnsi="Calibri" w:cs="Calibri"/>
                <w:i/>
                <w:iCs/>
                <w:sz w:val="24"/>
                <w:szCs w:val="24"/>
              </w:rPr>
              <w:t>Action Point</w:t>
            </w:r>
          </w:p>
        </w:tc>
        <w:tc>
          <w:tcPr>
            <w:tcW w:w="1559" w:type="dxa"/>
            <w:tcBorders>
              <w:top w:val="single" w:sz="4" w:space="0" w:color="auto"/>
            </w:tcBorders>
          </w:tcPr>
          <w:p w14:paraId="599B817D" w14:textId="77777777" w:rsidR="00402ED5" w:rsidRPr="00952E39" w:rsidRDefault="00402ED5" w:rsidP="00DE6F0F">
            <w:pPr>
              <w:rPr>
                <w:rFonts w:ascii="Calibri" w:hAnsi="Calibri" w:cs="Calibri"/>
                <w:sz w:val="24"/>
                <w:szCs w:val="24"/>
              </w:rPr>
            </w:pPr>
            <w:r w:rsidRPr="00952E39">
              <w:rPr>
                <w:rFonts w:ascii="Calibri" w:hAnsi="Calibri" w:cs="Calibri"/>
                <w:i/>
                <w:iCs/>
                <w:sz w:val="24"/>
                <w:szCs w:val="24"/>
              </w:rPr>
              <w:t>Timescale</w:t>
            </w:r>
          </w:p>
        </w:tc>
        <w:tc>
          <w:tcPr>
            <w:tcW w:w="1763" w:type="dxa"/>
            <w:tcBorders>
              <w:top w:val="single" w:sz="4" w:space="0" w:color="auto"/>
            </w:tcBorders>
          </w:tcPr>
          <w:p w14:paraId="3DC37672" w14:textId="77777777" w:rsidR="00402ED5" w:rsidRPr="00952E39" w:rsidRDefault="00402ED5" w:rsidP="00DE6F0F">
            <w:pPr>
              <w:rPr>
                <w:rFonts w:ascii="Calibri" w:hAnsi="Calibri" w:cs="Calibri"/>
                <w:sz w:val="24"/>
                <w:szCs w:val="24"/>
              </w:rPr>
            </w:pPr>
            <w:r w:rsidRPr="00952E39">
              <w:rPr>
                <w:rFonts w:ascii="Calibri" w:hAnsi="Calibri" w:cs="Calibri"/>
                <w:i/>
                <w:iCs/>
                <w:sz w:val="24"/>
                <w:szCs w:val="24"/>
              </w:rPr>
              <w:t>Action by</w:t>
            </w:r>
          </w:p>
        </w:tc>
      </w:tr>
      <w:tr w:rsidR="00402ED5" w:rsidRPr="00952E39" w14:paraId="51125D04" w14:textId="77777777" w:rsidTr="00DE6F0F">
        <w:tc>
          <w:tcPr>
            <w:tcW w:w="5920" w:type="dxa"/>
          </w:tcPr>
          <w:p w14:paraId="3CC9AB00" w14:textId="7CBD543D" w:rsidR="00402ED5" w:rsidRPr="00952E39" w:rsidRDefault="00F42DAF" w:rsidP="00DE6F0F">
            <w:pPr>
              <w:rPr>
                <w:rFonts w:ascii="Calibri" w:hAnsi="Calibri" w:cs="Calibri"/>
                <w:sz w:val="24"/>
                <w:szCs w:val="24"/>
              </w:rPr>
            </w:pPr>
            <w:r w:rsidRPr="00952E39">
              <w:rPr>
                <w:rFonts w:ascii="Calibri" w:hAnsi="Calibri" w:cs="Calibri"/>
                <w:sz w:val="24"/>
                <w:szCs w:val="24"/>
              </w:rPr>
              <w:t>Use University GTAP and CF schemes to identify potential applicants</w:t>
            </w:r>
          </w:p>
        </w:tc>
        <w:tc>
          <w:tcPr>
            <w:tcW w:w="1559" w:type="dxa"/>
          </w:tcPr>
          <w:p w14:paraId="1FB20235" w14:textId="640C4AE7" w:rsidR="00402ED5" w:rsidRPr="00952E39" w:rsidRDefault="00F42DAF" w:rsidP="00DE6F0F">
            <w:pPr>
              <w:spacing w:after="200"/>
              <w:rPr>
                <w:rFonts w:ascii="Calibri" w:hAnsi="Calibri" w:cs="Calibri"/>
                <w:sz w:val="24"/>
                <w:szCs w:val="24"/>
              </w:rPr>
            </w:pPr>
            <w:r w:rsidRPr="00952E39">
              <w:rPr>
                <w:rFonts w:ascii="Calibri" w:hAnsi="Calibri" w:cs="Calibri"/>
                <w:sz w:val="24"/>
                <w:szCs w:val="24"/>
              </w:rPr>
              <w:t>Continuous</w:t>
            </w:r>
          </w:p>
        </w:tc>
        <w:tc>
          <w:tcPr>
            <w:tcW w:w="1763" w:type="dxa"/>
          </w:tcPr>
          <w:p w14:paraId="0B0B719D" w14:textId="5EC51AFC" w:rsidR="00402ED5" w:rsidRPr="00952E39" w:rsidRDefault="00F42DAF" w:rsidP="00DE6F0F">
            <w:pPr>
              <w:spacing w:after="200"/>
              <w:rPr>
                <w:rFonts w:ascii="Calibri" w:hAnsi="Calibri" w:cs="Calibri"/>
                <w:sz w:val="24"/>
                <w:szCs w:val="24"/>
              </w:rPr>
            </w:pPr>
            <w:r w:rsidRPr="00952E39">
              <w:rPr>
                <w:rFonts w:ascii="Calibri" w:hAnsi="Calibri" w:cs="Calibri"/>
                <w:sz w:val="24"/>
                <w:szCs w:val="24"/>
              </w:rPr>
              <w:t>Head of School</w:t>
            </w:r>
          </w:p>
        </w:tc>
      </w:tr>
      <w:tr w:rsidR="00402ED5" w:rsidRPr="00952E39" w14:paraId="1337D88D" w14:textId="77777777" w:rsidTr="00DE6F0F">
        <w:tc>
          <w:tcPr>
            <w:tcW w:w="5920" w:type="dxa"/>
            <w:tcBorders>
              <w:bottom w:val="single" w:sz="4" w:space="0" w:color="auto"/>
            </w:tcBorders>
          </w:tcPr>
          <w:p w14:paraId="48873925" w14:textId="1566E4D5" w:rsidR="00402ED5" w:rsidRPr="00952E39" w:rsidRDefault="00F42DAF" w:rsidP="00DE6F0F">
            <w:pPr>
              <w:rPr>
                <w:rFonts w:ascii="Calibri" w:hAnsi="Calibri" w:cs="Calibri"/>
                <w:sz w:val="24"/>
                <w:szCs w:val="24"/>
              </w:rPr>
            </w:pPr>
            <w:r w:rsidRPr="00952E39">
              <w:rPr>
                <w:rFonts w:ascii="Calibri" w:hAnsi="Calibri" w:cs="Calibri"/>
                <w:sz w:val="24"/>
                <w:szCs w:val="24"/>
              </w:rPr>
              <w:t xml:space="preserve">Ensure staff who wish to transfer to research contracts </w:t>
            </w:r>
            <w:proofErr w:type="gramStart"/>
            <w:r w:rsidRPr="00952E39">
              <w:rPr>
                <w:rFonts w:ascii="Calibri" w:hAnsi="Calibri" w:cs="Calibri"/>
                <w:sz w:val="24"/>
                <w:szCs w:val="24"/>
              </w:rPr>
              <w:t>are able to</w:t>
            </w:r>
            <w:proofErr w:type="gramEnd"/>
            <w:r w:rsidRPr="00952E39">
              <w:rPr>
                <w:rFonts w:ascii="Calibri" w:hAnsi="Calibri" w:cs="Calibri"/>
                <w:sz w:val="24"/>
                <w:szCs w:val="24"/>
              </w:rPr>
              <w:t xml:space="preserve"> access informal mentoring</w:t>
            </w:r>
          </w:p>
        </w:tc>
        <w:tc>
          <w:tcPr>
            <w:tcW w:w="1559" w:type="dxa"/>
            <w:tcBorders>
              <w:bottom w:val="single" w:sz="4" w:space="0" w:color="auto"/>
            </w:tcBorders>
          </w:tcPr>
          <w:p w14:paraId="06A8205A" w14:textId="317EF8F9" w:rsidR="00402ED5" w:rsidRPr="00952E39" w:rsidRDefault="00F42DAF" w:rsidP="00DE6F0F">
            <w:pPr>
              <w:rPr>
                <w:rFonts w:ascii="Calibri" w:hAnsi="Calibri" w:cs="Calibri"/>
                <w:sz w:val="24"/>
                <w:szCs w:val="24"/>
              </w:rPr>
            </w:pPr>
            <w:r w:rsidRPr="00952E39">
              <w:rPr>
                <w:rFonts w:ascii="Calibri" w:hAnsi="Calibri" w:cs="Calibri"/>
                <w:sz w:val="24"/>
                <w:szCs w:val="24"/>
              </w:rPr>
              <w:t>Continuous</w:t>
            </w:r>
          </w:p>
        </w:tc>
        <w:tc>
          <w:tcPr>
            <w:tcW w:w="1763" w:type="dxa"/>
            <w:tcBorders>
              <w:bottom w:val="single" w:sz="4" w:space="0" w:color="auto"/>
            </w:tcBorders>
          </w:tcPr>
          <w:p w14:paraId="7AEDE359" w14:textId="40B6611C" w:rsidR="00402ED5" w:rsidRPr="00952E39" w:rsidRDefault="00F42DAF" w:rsidP="00DE6F0F">
            <w:pPr>
              <w:rPr>
                <w:rFonts w:ascii="Calibri" w:hAnsi="Calibri" w:cs="Calibri"/>
                <w:sz w:val="24"/>
                <w:szCs w:val="24"/>
              </w:rPr>
            </w:pPr>
            <w:r w:rsidRPr="00952E39">
              <w:rPr>
                <w:rFonts w:ascii="Calibri" w:hAnsi="Calibri" w:cs="Calibri"/>
                <w:sz w:val="24"/>
                <w:szCs w:val="24"/>
              </w:rPr>
              <w:t>Head of School</w:t>
            </w:r>
          </w:p>
        </w:tc>
      </w:tr>
      <w:tr w:rsidR="0037500C" w:rsidRPr="00952E39" w14:paraId="11D652B3" w14:textId="77777777" w:rsidTr="00DE6F0F">
        <w:tc>
          <w:tcPr>
            <w:tcW w:w="5920" w:type="dxa"/>
            <w:tcBorders>
              <w:bottom w:val="single" w:sz="4" w:space="0" w:color="auto"/>
            </w:tcBorders>
          </w:tcPr>
          <w:p w14:paraId="59DC4497" w14:textId="25EF174B" w:rsidR="0037500C" w:rsidRPr="00952E39" w:rsidRDefault="0037500C" w:rsidP="00DE6F0F">
            <w:pPr>
              <w:rPr>
                <w:rFonts w:ascii="Calibri" w:hAnsi="Calibri" w:cs="Calibri"/>
                <w:sz w:val="24"/>
                <w:szCs w:val="24"/>
              </w:rPr>
            </w:pPr>
            <w:r w:rsidRPr="00952E39">
              <w:rPr>
                <w:rFonts w:ascii="Calibri" w:hAnsi="Calibri" w:cs="Calibri"/>
                <w:sz w:val="24"/>
                <w:szCs w:val="24"/>
              </w:rPr>
              <w:t>Liaise with Research Centres and leaders of subject groups to ensure appropriate availability of research material in the library</w:t>
            </w:r>
          </w:p>
        </w:tc>
        <w:tc>
          <w:tcPr>
            <w:tcW w:w="1559" w:type="dxa"/>
            <w:tcBorders>
              <w:bottom w:val="single" w:sz="4" w:space="0" w:color="auto"/>
            </w:tcBorders>
          </w:tcPr>
          <w:p w14:paraId="72403C67" w14:textId="60E72DF9" w:rsidR="0037500C" w:rsidRPr="00952E39" w:rsidRDefault="0037500C" w:rsidP="00DE6F0F">
            <w:pPr>
              <w:rPr>
                <w:rFonts w:ascii="Calibri" w:hAnsi="Calibri" w:cs="Calibri"/>
                <w:sz w:val="24"/>
                <w:szCs w:val="24"/>
              </w:rPr>
            </w:pPr>
            <w:r w:rsidRPr="00952E39">
              <w:rPr>
                <w:rFonts w:ascii="Calibri" w:hAnsi="Calibri" w:cs="Calibri"/>
                <w:sz w:val="24"/>
                <w:szCs w:val="24"/>
              </w:rPr>
              <w:t>Continuous</w:t>
            </w:r>
          </w:p>
        </w:tc>
        <w:tc>
          <w:tcPr>
            <w:tcW w:w="1763" w:type="dxa"/>
            <w:tcBorders>
              <w:bottom w:val="single" w:sz="4" w:space="0" w:color="auto"/>
            </w:tcBorders>
          </w:tcPr>
          <w:p w14:paraId="255A3CAC" w14:textId="08451C11" w:rsidR="0037500C" w:rsidRPr="00952E39" w:rsidRDefault="0037500C" w:rsidP="00DE6F0F">
            <w:pPr>
              <w:rPr>
                <w:rFonts w:ascii="Calibri" w:hAnsi="Calibri" w:cs="Calibri"/>
                <w:sz w:val="24"/>
                <w:szCs w:val="24"/>
              </w:rPr>
            </w:pPr>
            <w:r w:rsidRPr="00952E39">
              <w:rPr>
                <w:rFonts w:ascii="Calibri" w:hAnsi="Calibri" w:cs="Calibri"/>
                <w:sz w:val="24"/>
                <w:szCs w:val="24"/>
              </w:rPr>
              <w:t>Library Officer</w:t>
            </w:r>
          </w:p>
        </w:tc>
      </w:tr>
      <w:tr w:rsidR="00402ED5" w:rsidRPr="00952E39" w14:paraId="3F10D2B1" w14:textId="77777777" w:rsidTr="00DE6F0F">
        <w:tc>
          <w:tcPr>
            <w:tcW w:w="9242" w:type="dxa"/>
            <w:gridSpan w:val="3"/>
            <w:tcBorders>
              <w:top w:val="single" w:sz="4" w:space="0" w:color="auto"/>
              <w:left w:val="nil"/>
              <w:bottom w:val="single" w:sz="4" w:space="0" w:color="auto"/>
              <w:right w:val="nil"/>
            </w:tcBorders>
          </w:tcPr>
          <w:p w14:paraId="607B5F94" w14:textId="77777777" w:rsidR="00402ED5" w:rsidRPr="00952E39" w:rsidRDefault="00402ED5" w:rsidP="00DE6F0F">
            <w:pPr>
              <w:pStyle w:val="ListParagraph"/>
              <w:ind w:left="360"/>
              <w:rPr>
                <w:rFonts w:ascii="Calibri" w:hAnsi="Calibri" w:cs="Calibri"/>
                <w:b/>
                <w:bCs/>
                <w:sz w:val="24"/>
                <w:szCs w:val="24"/>
              </w:rPr>
            </w:pPr>
          </w:p>
          <w:p w14:paraId="130F4DC4" w14:textId="6CA4A938" w:rsidR="007D18A0" w:rsidRPr="00952E39" w:rsidRDefault="007D18A0" w:rsidP="008953AB">
            <w:pPr>
              <w:pStyle w:val="ListParagraph"/>
              <w:numPr>
                <w:ilvl w:val="0"/>
                <w:numId w:val="5"/>
              </w:numPr>
              <w:rPr>
                <w:rFonts w:ascii="Calibri" w:hAnsi="Calibri" w:cs="Calibri"/>
                <w:sz w:val="24"/>
                <w:szCs w:val="24"/>
              </w:rPr>
            </w:pPr>
            <w:r w:rsidRPr="00952E39">
              <w:rPr>
                <w:rFonts w:ascii="Calibri" w:hAnsi="Calibri" w:cs="Calibri"/>
                <w:sz w:val="24"/>
                <w:szCs w:val="24"/>
              </w:rPr>
              <w:t>To grow the number of high-quality PGR students in the School and ensure timely completion of PGR research students.</w:t>
            </w:r>
          </w:p>
          <w:p w14:paraId="67298644" w14:textId="77777777" w:rsidR="00402ED5" w:rsidRPr="00952E39" w:rsidRDefault="00402ED5" w:rsidP="00DE6F0F">
            <w:pPr>
              <w:rPr>
                <w:rFonts w:ascii="Calibri" w:hAnsi="Calibri" w:cs="Calibri"/>
                <w:b/>
                <w:bCs/>
                <w:sz w:val="24"/>
                <w:szCs w:val="24"/>
              </w:rPr>
            </w:pPr>
          </w:p>
        </w:tc>
      </w:tr>
      <w:tr w:rsidR="00402ED5" w:rsidRPr="00952E39" w14:paraId="3F608108" w14:textId="77777777" w:rsidTr="00DE6F0F">
        <w:tc>
          <w:tcPr>
            <w:tcW w:w="5920" w:type="dxa"/>
            <w:tcBorders>
              <w:top w:val="single" w:sz="4" w:space="0" w:color="auto"/>
            </w:tcBorders>
          </w:tcPr>
          <w:p w14:paraId="036FB10A" w14:textId="77777777" w:rsidR="00402ED5" w:rsidRPr="00952E39" w:rsidRDefault="00402ED5" w:rsidP="00DE6F0F">
            <w:pPr>
              <w:rPr>
                <w:rFonts w:ascii="Calibri" w:hAnsi="Calibri" w:cs="Calibri"/>
                <w:sz w:val="24"/>
                <w:szCs w:val="24"/>
              </w:rPr>
            </w:pPr>
            <w:r w:rsidRPr="00952E39">
              <w:rPr>
                <w:rFonts w:ascii="Calibri" w:hAnsi="Calibri" w:cs="Calibri"/>
                <w:i/>
                <w:iCs/>
                <w:sz w:val="24"/>
                <w:szCs w:val="24"/>
              </w:rPr>
              <w:t>Action Point</w:t>
            </w:r>
          </w:p>
        </w:tc>
        <w:tc>
          <w:tcPr>
            <w:tcW w:w="1559" w:type="dxa"/>
            <w:tcBorders>
              <w:top w:val="single" w:sz="4" w:space="0" w:color="auto"/>
            </w:tcBorders>
          </w:tcPr>
          <w:p w14:paraId="6EE76CD9" w14:textId="77777777" w:rsidR="00402ED5" w:rsidRPr="00952E39" w:rsidRDefault="00402ED5" w:rsidP="00DE6F0F">
            <w:pPr>
              <w:rPr>
                <w:rFonts w:ascii="Calibri" w:hAnsi="Calibri" w:cs="Calibri"/>
                <w:sz w:val="24"/>
                <w:szCs w:val="24"/>
              </w:rPr>
            </w:pPr>
            <w:r w:rsidRPr="00952E39">
              <w:rPr>
                <w:rFonts w:ascii="Calibri" w:hAnsi="Calibri" w:cs="Calibri"/>
                <w:i/>
                <w:iCs/>
                <w:sz w:val="24"/>
                <w:szCs w:val="24"/>
              </w:rPr>
              <w:t>Timescale</w:t>
            </w:r>
          </w:p>
        </w:tc>
        <w:tc>
          <w:tcPr>
            <w:tcW w:w="1763" w:type="dxa"/>
            <w:tcBorders>
              <w:top w:val="single" w:sz="4" w:space="0" w:color="auto"/>
            </w:tcBorders>
          </w:tcPr>
          <w:p w14:paraId="3F47C515" w14:textId="77777777" w:rsidR="00402ED5" w:rsidRPr="00952E39" w:rsidRDefault="00402ED5" w:rsidP="00DE6F0F">
            <w:pPr>
              <w:rPr>
                <w:rFonts w:ascii="Calibri" w:hAnsi="Calibri" w:cs="Calibri"/>
                <w:sz w:val="24"/>
                <w:szCs w:val="24"/>
              </w:rPr>
            </w:pPr>
            <w:r w:rsidRPr="00952E39">
              <w:rPr>
                <w:rFonts w:ascii="Calibri" w:hAnsi="Calibri" w:cs="Calibri"/>
                <w:i/>
                <w:iCs/>
                <w:sz w:val="24"/>
                <w:szCs w:val="24"/>
              </w:rPr>
              <w:t>Action by</w:t>
            </w:r>
          </w:p>
        </w:tc>
      </w:tr>
      <w:tr w:rsidR="00402ED5" w:rsidRPr="00952E39" w14:paraId="6DE01A86" w14:textId="77777777" w:rsidTr="00DE6F0F">
        <w:tc>
          <w:tcPr>
            <w:tcW w:w="5920" w:type="dxa"/>
          </w:tcPr>
          <w:p w14:paraId="7442F7E7" w14:textId="5A8EA89D" w:rsidR="007D18A0" w:rsidRPr="00952E39" w:rsidRDefault="007D18A0" w:rsidP="007D18A0">
            <w:pPr>
              <w:rPr>
                <w:rFonts w:ascii="Calibri" w:hAnsi="Calibri" w:cs="Calibri"/>
                <w:sz w:val="24"/>
                <w:szCs w:val="24"/>
              </w:rPr>
            </w:pPr>
            <w:r w:rsidRPr="00952E39">
              <w:rPr>
                <w:rFonts w:ascii="Calibri" w:hAnsi="Calibri" w:cs="Calibri"/>
                <w:sz w:val="24"/>
                <w:szCs w:val="24"/>
              </w:rPr>
              <w:t xml:space="preserve">Develop PhD pathway to completion with milestone activities and skills training across the 3 years, recognised as part of PGCert </w:t>
            </w:r>
          </w:p>
        </w:tc>
        <w:tc>
          <w:tcPr>
            <w:tcW w:w="1559" w:type="dxa"/>
          </w:tcPr>
          <w:p w14:paraId="482D5D9E" w14:textId="11D22E73" w:rsidR="00402ED5" w:rsidRPr="00952E39" w:rsidRDefault="00B17C5F" w:rsidP="00DE6F0F">
            <w:pPr>
              <w:spacing w:after="200"/>
              <w:rPr>
                <w:rFonts w:ascii="Calibri" w:hAnsi="Calibri" w:cs="Calibri"/>
                <w:sz w:val="24"/>
                <w:szCs w:val="24"/>
              </w:rPr>
            </w:pPr>
            <w:r w:rsidRPr="00952E39">
              <w:rPr>
                <w:rFonts w:ascii="Calibri" w:hAnsi="Calibri" w:cs="Calibri"/>
                <w:sz w:val="24"/>
                <w:szCs w:val="24"/>
              </w:rPr>
              <w:t>2023</w:t>
            </w:r>
          </w:p>
        </w:tc>
        <w:tc>
          <w:tcPr>
            <w:tcW w:w="1763" w:type="dxa"/>
          </w:tcPr>
          <w:p w14:paraId="0F6D4441" w14:textId="41D60528" w:rsidR="00402ED5" w:rsidRPr="00952E39" w:rsidRDefault="00B17C5F" w:rsidP="00DE6F0F">
            <w:pPr>
              <w:spacing w:after="200"/>
              <w:rPr>
                <w:rFonts w:ascii="Calibri" w:hAnsi="Calibri" w:cs="Calibri"/>
                <w:sz w:val="24"/>
                <w:szCs w:val="24"/>
              </w:rPr>
            </w:pPr>
            <w:r w:rsidRPr="00952E39">
              <w:rPr>
                <w:rFonts w:ascii="Calibri" w:hAnsi="Calibri" w:cs="Calibri"/>
                <w:sz w:val="24"/>
                <w:szCs w:val="24"/>
              </w:rPr>
              <w:t>PGR Director(s)</w:t>
            </w:r>
          </w:p>
        </w:tc>
      </w:tr>
      <w:tr w:rsidR="00402ED5" w:rsidRPr="00952E39" w14:paraId="214EA257" w14:textId="77777777" w:rsidTr="00DE6F0F">
        <w:tc>
          <w:tcPr>
            <w:tcW w:w="5920" w:type="dxa"/>
          </w:tcPr>
          <w:p w14:paraId="49666743" w14:textId="6888525B" w:rsidR="00402ED5" w:rsidRPr="00952E39" w:rsidRDefault="007D18A0" w:rsidP="00DE6F0F">
            <w:pPr>
              <w:rPr>
                <w:rFonts w:ascii="Calibri" w:hAnsi="Calibri" w:cs="Calibri"/>
                <w:sz w:val="24"/>
                <w:szCs w:val="24"/>
              </w:rPr>
            </w:pPr>
            <w:r w:rsidRPr="00952E39">
              <w:rPr>
                <w:rFonts w:ascii="Calibri" w:hAnsi="Calibri" w:cs="Calibri"/>
                <w:sz w:val="24"/>
                <w:szCs w:val="24"/>
              </w:rPr>
              <w:t xml:space="preserve">Provide supervision mentoring and workshops for new supervisors </w:t>
            </w:r>
            <w:r w:rsidR="008C32F5" w:rsidRPr="00952E39">
              <w:rPr>
                <w:rFonts w:ascii="Calibri" w:hAnsi="Calibri" w:cs="Calibri"/>
                <w:sz w:val="24"/>
                <w:szCs w:val="24"/>
              </w:rPr>
              <w:t>(if not already covered by OSDU/SPIRAL)</w:t>
            </w:r>
          </w:p>
        </w:tc>
        <w:tc>
          <w:tcPr>
            <w:tcW w:w="1559" w:type="dxa"/>
          </w:tcPr>
          <w:p w14:paraId="7894546C" w14:textId="5B7DB58E" w:rsidR="00402ED5" w:rsidRPr="00952E39" w:rsidRDefault="00B17C5F" w:rsidP="00DE6F0F">
            <w:pPr>
              <w:rPr>
                <w:rFonts w:ascii="Calibri" w:hAnsi="Calibri" w:cs="Calibri"/>
                <w:sz w:val="24"/>
                <w:szCs w:val="24"/>
              </w:rPr>
            </w:pPr>
            <w:r w:rsidRPr="00952E39">
              <w:rPr>
                <w:rFonts w:ascii="Calibri" w:hAnsi="Calibri" w:cs="Calibri"/>
                <w:sz w:val="24"/>
                <w:szCs w:val="24"/>
              </w:rPr>
              <w:t>Annual (if new staff appointed)</w:t>
            </w:r>
          </w:p>
        </w:tc>
        <w:tc>
          <w:tcPr>
            <w:tcW w:w="1763" w:type="dxa"/>
          </w:tcPr>
          <w:p w14:paraId="6D77A054" w14:textId="49A76194" w:rsidR="00402ED5" w:rsidRPr="00952E39" w:rsidRDefault="00B17C5F" w:rsidP="00DE6F0F">
            <w:pPr>
              <w:rPr>
                <w:rFonts w:ascii="Calibri" w:hAnsi="Calibri" w:cs="Calibri"/>
                <w:sz w:val="24"/>
                <w:szCs w:val="24"/>
              </w:rPr>
            </w:pPr>
            <w:r w:rsidRPr="00952E39">
              <w:rPr>
                <w:rFonts w:ascii="Calibri" w:hAnsi="Calibri" w:cs="Calibri"/>
                <w:sz w:val="24"/>
                <w:szCs w:val="24"/>
              </w:rPr>
              <w:t>PGR Director(s)</w:t>
            </w:r>
          </w:p>
        </w:tc>
      </w:tr>
      <w:tr w:rsidR="00402ED5" w:rsidRPr="00952E39" w14:paraId="6882FEC0" w14:textId="77777777" w:rsidTr="00DE6F0F">
        <w:tc>
          <w:tcPr>
            <w:tcW w:w="5920" w:type="dxa"/>
          </w:tcPr>
          <w:p w14:paraId="60B6A5C4" w14:textId="000D291B" w:rsidR="00402ED5" w:rsidRPr="00952E39" w:rsidRDefault="007D18A0" w:rsidP="00DE6F0F">
            <w:pPr>
              <w:rPr>
                <w:rFonts w:ascii="Calibri" w:hAnsi="Calibri" w:cs="Calibri"/>
                <w:sz w:val="24"/>
                <w:szCs w:val="24"/>
              </w:rPr>
            </w:pPr>
            <w:r w:rsidRPr="00952E39">
              <w:rPr>
                <w:rFonts w:ascii="Calibri" w:hAnsi="Calibri" w:cs="Calibri"/>
                <w:sz w:val="24"/>
                <w:szCs w:val="24"/>
              </w:rPr>
              <w:t>Monthly meetings with PhD students to provide pastoral care</w:t>
            </w:r>
            <w:r w:rsidR="008C32F5" w:rsidRPr="00952E39">
              <w:rPr>
                <w:rFonts w:ascii="Calibri" w:hAnsi="Calibri" w:cs="Calibri"/>
                <w:sz w:val="24"/>
                <w:szCs w:val="24"/>
              </w:rPr>
              <w:t>, career development opportunities and other initiatives to ensure PGR are fully part of the School community</w:t>
            </w:r>
          </w:p>
        </w:tc>
        <w:tc>
          <w:tcPr>
            <w:tcW w:w="1559" w:type="dxa"/>
          </w:tcPr>
          <w:p w14:paraId="5A0238F4" w14:textId="3DAADD77" w:rsidR="00402ED5" w:rsidRPr="00952E39" w:rsidRDefault="00B17C5F" w:rsidP="00DE6F0F">
            <w:pPr>
              <w:rPr>
                <w:rFonts w:ascii="Calibri" w:hAnsi="Calibri" w:cs="Calibri"/>
                <w:sz w:val="24"/>
                <w:szCs w:val="24"/>
              </w:rPr>
            </w:pPr>
            <w:r w:rsidRPr="00952E39">
              <w:rPr>
                <w:rFonts w:ascii="Calibri" w:hAnsi="Calibri" w:cs="Calibri"/>
                <w:sz w:val="24"/>
                <w:szCs w:val="24"/>
              </w:rPr>
              <w:t>Monthly (during semester)</w:t>
            </w:r>
          </w:p>
        </w:tc>
        <w:tc>
          <w:tcPr>
            <w:tcW w:w="1763" w:type="dxa"/>
          </w:tcPr>
          <w:p w14:paraId="224FBFEF" w14:textId="2E790637" w:rsidR="00402ED5" w:rsidRPr="00952E39" w:rsidRDefault="00B17C5F" w:rsidP="00DE6F0F">
            <w:pPr>
              <w:rPr>
                <w:rFonts w:ascii="Calibri" w:hAnsi="Calibri" w:cs="Calibri"/>
                <w:sz w:val="24"/>
                <w:szCs w:val="24"/>
              </w:rPr>
            </w:pPr>
            <w:r w:rsidRPr="00952E39">
              <w:rPr>
                <w:rFonts w:ascii="Calibri" w:hAnsi="Calibri" w:cs="Calibri"/>
                <w:sz w:val="24"/>
                <w:szCs w:val="24"/>
              </w:rPr>
              <w:t>PGR Director(s)</w:t>
            </w:r>
          </w:p>
        </w:tc>
      </w:tr>
      <w:tr w:rsidR="00402ED5" w:rsidRPr="00952E39" w14:paraId="010A7223" w14:textId="77777777" w:rsidTr="00DE6F0F">
        <w:tc>
          <w:tcPr>
            <w:tcW w:w="5920" w:type="dxa"/>
          </w:tcPr>
          <w:p w14:paraId="0473FE2B" w14:textId="17621AD1" w:rsidR="00402ED5" w:rsidRPr="00952E39" w:rsidRDefault="007D18A0" w:rsidP="00DE6F0F">
            <w:pPr>
              <w:rPr>
                <w:rFonts w:ascii="Calibri" w:hAnsi="Calibri" w:cs="Calibri"/>
                <w:sz w:val="24"/>
                <w:szCs w:val="24"/>
              </w:rPr>
            </w:pPr>
            <w:r w:rsidRPr="00952E39">
              <w:rPr>
                <w:rFonts w:ascii="Calibri" w:hAnsi="Calibri" w:cs="Calibri"/>
                <w:sz w:val="24"/>
                <w:szCs w:val="24"/>
              </w:rPr>
              <w:t xml:space="preserve">Promote PGR opportunities to current PGT </w:t>
            </w:r>
            <w:r w:rsidR="001E4C00" w:rsidRPr="00952E39">
              <w:rPr>
                <w:rFonts w:ascii="Calibri" w:hAnsi="Calibri" w:cs="Calibri"/>
                <w:sz w:val="24"/>
                <w:szCs w:val="24"/>
              </w:rPr>
              <w:t xml:space="preserve">/ </w:t>
            </w:r>
            <w:proofErr w:type="gramStart"/>
            <w:r w:rsidR="001E4C00" w:rsidRPr="00952E39">
              <w:rPr>
                <w:rFonts w:ascii="Calibri" w:hAnsi="Calibri" w:cs="Calibri"/>
                <w:sz w:val="24"/>
                <w:szCs w:val="24"/>
              </w:rPr>
              <w:t>Honours</w:t>
            </w:r>
            <w:proofErr w:type="gramEnd"/>
            <w:r w:rsidR="001E4C00" w:rsidRPr="00952E39">
              <w:rPr>
                <w:rFonts w:ascii="Calibri" w:hAnsi="Calibri" w:cs="Calibri"/>
                <w:sz w:val="24"/>
                <w:szCs w:val="24"/>
              </w:rPr>
              <w:t xml:space="preserve"> </w:t>
            </w:r>
            <w:r w:rsidRPr="00952E39">
              <w:rPr>
                <w:rFonts w:ascii="Calibri" w:hAnsi="Calibri" w:cs="Calibri"/>
                <w:sz w:val="24"/>
                <w:szCs w:val="24"/>
              </w:rPr>
              <w:t>students, including internal/external funding</w:t>
            </w:r>
          </w:p>
        </w:tc>
        <w:tc>
          <w:tcPr>
            <w:tcW w:w="1559" w:type="dxa"/>
          </w:tcPr>
          <w:p w14:paraId="70EA791B" w14:textId="71F17A3E" w:rsidR="00402ED5" w:rsidRPr="00952E39" w:rsidRDefault="00B17C5F" w:rsidP="00DE6F0F">
            <w:pPr>
              <w:rPr>
                <w:rFonts w:ascii="Calibri" w:hAnsi="Calibri" w:cs="Calibri"/>
                <w:sz w:val="24"/>
                <w:szCs w:val="24"/>
              </w:rPr>
            </w:pPr>
            <w:r w:rsidRPr="00952E39">
              <w:rPr>
                <w:rFonts w:ascii="Calibri" w:hAnsi="Calibri" w:cs="Calibri"/>
                <w:sz w:val="24"/>
                <w:szCs w:val="24"/>
              </w:rPr>
              <w:t>Annual</w:t>
            </w:r>
          </w:p>
        </w:tc>
        <w:tc>
          <w:tcPr>
            <w:tcW w:w="1763" w:type="dxa"/>
          </w:tcPr>
          <w:p w14:paraId="6E34F791" w14:textId="438AD005" w:rsidR="00402ED5" w:rsidRPr="00952E39" w:rsidRDefault="00B17C5F" w:rsidP="00DE6F0F">
            <w:pPr>
              <w:rPr>
                <w:rFonts w:ascii="Calibri" w:hAnsi="Calibri" w:cs="Calibri"/>
                <w:sz w:val="24"/>
                <w:szCs w:val="24"/>
              </w:rPr>
            </w:pPr>
            <w:r w:rsidRPr="00952E39">
              <w:rPr>
                <w:rFonts w:ascii="Calibri" w:hAnsi="Calibri" w:cs="Calibri"/>
                <w:sz w:val="24"/>
                <w:szCs w:val="24"/>
              </w:rPr>
              <w:t>PGR Director(s)</w:t>
            </w:r>
          </w:p>
        </w:tc>
      </w:tr>
    </w:tbl>
    <w:p w14:paraId="25DF7468" w14:textId="77777777" w:rsidR="00402ED5" w:rsidRPr="00952E39" w:rsidRDefault="00402ED5" w:rsidP="00402ED5">
      <w:pPr>
        <w:rPr>
          <w:rFonts w:ascii="Calibri" w:hAnsi="Calibri" w:cs="Calibri"/>
        </w:rPr>
      </w:pPr>
    </w:p>
    <w:p w14:paraId="52C5B889" w14:textId="4E1FF51E" w:rsidR="0048083C" w:rsidRDefault="0048083C"/>
    <w:sectPr w:rsidR="0048083C" w:rsidSect="00672687">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CF48" w14:textId="77777777" w:rsidR="00766A16" w:rsidRDefault="00766A16" w:rsidP="009A045D">
      <w:r>
        <w:separator/>
      </w:r>
    </w:p>
  </w:endnote>
  <w:endnote w:type="continuationSeparator" w:id="0">
    <w:p w14:paraId="223A7278" w14:textId="77777777" w:rsidR="00766A16" w:rsidRDefault="00766A16" w:rsidP="009A045D">
      <w:r>
        <w:continuationSeparator/>
      </w:r>
    </w:p>
  </w:endnote>
  <w:endnote w:type="continuationNotice" w:id="1">
    <w:p w14:paraId="1AD74FB3" w14:textId="77777777" w:rsidR="00766A16" w:rsidRDefault="00766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UOS Stephenson">
    <w:altName w:val="Cambria"/>
    <w:charset w:val="00"/>
    <w:family w:val="roman"/>
    <w:pitch w:val="variable"/>
    <w:sig w:usb0="8000002F" w:usb1="40000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8600793"/>
      <w:docPartObj>
        <w:docPartGallery w:val="Page Numbers (Bottom of Page)"/>
        <w:docPartUnique/>
      </w:docPartObj>
    </w:sdtPr>
    <w:sdtEndPr>
      <w:rPr>
        <w:rStyle w:val="PageNumber"/>
      </w:rPr>
    </w:sdtEndPr>
    <w:sdtContent>
      <w:p w14:paraId="7DF0E16F" w14:textId="71E6B318" w:rsidR="009A045D" w:rsidRDefault="009A045D" w:rsidP="00891E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668D7" w14:textId="77777777" w:rsidR="009A045D" w:rsidRDefault="009A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9738598"/>
      <w:docPartObj>
        <w:docPartGallery w:val="Page Numbers (Bottom of Page)"/>
        <w:docPartUnique/>
      </w:docPartObj>
    </w:sdtPr>
    <w:sdtEndPr>
      <w:rPr>
        <w:rStyle w:val="PageNumber"/>
      </w:rPr>
    </w:sdtEndPr>
    <w:sdtContent>
      <w:p w14:paraId="4739789A" w14:textId="082395F6" w:rsidR="009A045D" w:rsidRDefault="009A045D" w:rsidP="00891E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975E9">
          <w:rPr>
            <w:rStyle w:val="PageNumber"/>
            <w:noProof/>
          </w:rPr>
          <w:t>1</w:t>
        </w:r>
        <w:r>
          <w:rPr>
            <w:rStyle w:val="PageNumber"/>
          </w:rPr>
          <w:fldChar w:fldCharType="end"/>
        </w:r>
      </w:p>
    </w:sdtContent>
  </w:sdt>
  <w:p w14:paraId="1EC6AF22" w14:textId="77777777" w:rsidR="009A045D" w:rsidRDefault="009A0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C7C0A" w14:textId="77777777" w:rsidR="00766A16" w:rsidRDefault="00766A16" w:rsidP="009A045D">
      <w:r>
        <w:separator/>
      </w:r>
    </w:p>
  </w:footnote>
  <w:footnote w:type="continuationSeparator" w:id="0">
    <w:p w14:paraId="290573C7" w14:textId="77777777" w:rsidR="00766A16" w:rsidRDefault="00766A16" w:rsidP="009A045D">
      <w:r>
        <w:continuationSeparator/>
      </w:r>
    </w:p>
  </w:footnote>
  <w:footnote w:type="continuationNotice" w:id="1">
    <w:p w14:paraId="55BC02DF" w14:textId="77777777" w:rsidR="00766A16" w:rsidRDefault="00766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7721"/>
    <w:multiLevelType w:val="multilevel"/>
    <w:tmpl w:val="092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90065"/>
    <w:multiLevelType w:val="hybridMultilevel"/>
    <w:tmpl w:val="7D1E5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C066A"/>
    <w:multiLevelType w:val="hybridMultilevel"/>
    <w:tmpl w:val="2AAEE2F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A65E9F"/>
    <w:multiLevelType w:val="hybridMultilevel"/>
    <w:tmpl w:val="1160EB58"/>
    <w:lvl w:ilvl="0" w:tplc="34A88D7A">
      <w:start w:val="1"/>
      <w:numFmt w:val="decimal"/>
      <w:lvlText w:val="%1."/>
      <w:lvlJc w:val="left"/>
      <w:pPr>
        <w:ind w:left="720" w:hanging="360"/>
      </w:pPr>
      <w:rPr>
        <w:rFonts w:ascii="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530C2"/>
    <w:multiLevelType w:val="multilevel"/>
    <w:tmpl w:val="675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51131"/>
    <w:multiLevelType w:val="hybridMultilevel"/>
    <w:tmpl w:val="85A21EC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336DF"/>
    <w:multiLevelType w:val="hybridMultilevel"/>
    <w:tmpl w:val="B0F8C3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E60504"/>
    <w:multiLevelType w:val="hybridMultilevel"/>
    <w:tmpl w:val="F046414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5"/>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C"/>
    <w:rsid w:val="00001B70"/>
    <w:rsid w:val="00043E23"/>
    <w:rsid w:val="00070364"/>
    <w:rsid w:val="000A52FF"/>
    <w:rsid w:val="00147C09"/>
    <w:rsid w:val="0019548D"/>
    <w:rsid w:val="001D4B8B"/>
    <w:rsid w:val="001E4C00"/>
    <w:rsid w:val="001E653C"/>
    <w:rsid w:val="00220F4D"/>
    <w:rsid w:val="00222708"/>
    <w:rsid w:val="0024134F"/>
    <w:rsid w:val="002429BF"/>
    <w:rsid w:val="002710A3"/>
    <w:rsid w:val="00294948"/>
    <w:rsid w:val="002964E6"/>
    <w:rsid w:val="002D79E0"/>
    <w:rsid w:val="002F7464"/>
    <w:rsid w:val="00345679"/>
    <w:rsid w:val="00357669"/>
    <w:rsid w:val="0037500C"/>
    <w:rsid w:val="003811F6"/>
    <w:rsid w:val="003A3B87"/>
    <w:rsid w:val="003B2AA4"/>
    <w:rsid w:val="003B6E61"/>
    <w:rsid w:val="003C65F2"/>
    <w:rsid w:val="00402ED5"/>
    <w:rsid w:val="00416191"/>
    <w:rsid w:val="00437239"/>
    <w:rsid w:val="004431E8"/>
    <w:rsid w:val="0048083C"/>
    <w:rsid w:val="00483797"/>
    <w:rsid w:val="004A3C92"/>
    <w:rsid w:val="004D0C04"/>
    <w:rsid w:val="004E3A1B"/>
    <w:rsid w:val="0053231C"/>
    <w:rsid w:val="0056713B"/>
    <w:rsid w:val="005A1E8C"/>
    <w:rsid w:val="005A4F72"/>
    <w:rsid w:val="005F0F1F"/>
    <w:rsid w:val="00612C30"/>
    <w:rsid w:val="0062641C"/>
    <w:rsid w:val="00634277"/>
    <w:rsid w:val="0065017B"/>
    <w:rsid w:val="00672687"/>
    <w:rsid w:val="0069068B"/>
    <w:rsid w:val="006A6939"/>
    <w:rsid w:val="006A73CD"/>
    <w:rsid w:val="006B2824"/>
    <w:rsid w:val="006C019E"/>
    <w:rsid w:val="006C0BC3"/>
    <w:rsid w:val="00703358"/>
    <w:rsid w:val="00713D1D"/>
    <w:rsid w:val="00714FDB"/>
    <w:rsid w:val="0073648E"/>
    <w:rsid w:val="00766A16"/>
    <w:rsid w:val="007826F4"/>
    <w:rsid w:val="007A276F"/>
    <w:rsid w:val="007B04E6"/>
    <w:rsid w:val="007B6698"/>
    <w:rsid w:val="007C6469"/>
    <w:rsid w:val="007C7BC5"/>
    <w:rsid w:val="007D088B"/>
    <w:rsid w:val="007D18A0"/>
    <w:rsid w:val="007F0D6E"/>
    <w:rsid w:val="007F1A52"/>
    <w:rsid w:val="00812604"/>
    <w:rsid w:val="00831A33"/>
    <w:rsid w:val="008953AB"/>
    <w:rsid w:val="008B38DB"/>
    <w:rsid w:val="008B427F"/>
    <w:rsid w:val="008C32F5"/>
    <w:rsid w:val="008D34C2"/>
    <w:rsid w:val="008D48A6"/>
    <w:rsid w:val="00916327"/>
    <w:rsid w:val="0092791A"/>
    <w:rsid w:val="0094502D"/>
    <w:rsid w:val="00952E39"/>
    <w:rsid w:val="0098409B"/>
    <w:rsid w:val="009952D4"/>
    <w:rsid w:val="009A045D"/>
    <w:rsid w:val="009A629F"/>
    <w:rsid w:val="009D2B84"/>
    <w:rsid w:val="00A107E4"/>
    <w:rsid w:val="00A20337"/>
    <w:rsid w:val="00A94F9C"/>
    <w:rsid w:val="00AF68F7"/>
    <w:rsid w:val="00B02198"/>
    <w:rsid w:val="00B03E31"/>
    <w:rsid w:val="00B044D0"/>
    <w:rsid w:val="00B16352"/>
    <w:rsid w:val="00B17C5F"/>
    <w:rsid w:val="00B4059B"/>
    <w:rsid w:val="00B50507"/>
    <w:rsid w:val="00B60D3E"/>
    <w:rsid w:val="00B72C59"/>
    <w:rsid w:val="00B94862"/>
    <w:rsid w:val="00BF5472"/>
    <w:rsid w:val="00C026B8"/>
    <w:rsid w:val="00C43E9A"/>
    <w:rsid w:val="00C526E5"/>
    <w:rsid w:val="00CA5A50"/>
    <w:rsid w:val="00CE6E2D"/>
    <w:rsid w:val="00D231DD"/>
    <w:rsid w:val="00D858AE"/>
    <w:rsid w:val="00E440A9"/>
    <w:rsid w:val="00E51460"/>
    <w:rsid w:val="00E52033"/>
    <w:rsid w:val="00E571F0"/>
    <w:rsid w:val="00E73B52"/>
    <w:rsid w:val="00F0179E"/>
    <w:rsid w:val="00F05A58"/>
    <w:rsid w:val="00F15A32"/>
    <w:rsid w:val="00F15A98"/>
    <w:rsid w:val="00F355FB"/>
    <w:rsid w:val="00F42DAF"/>
    <w:rsid w:val="00F43D9F"/>
    <w:rsid w:val="00F64BD3"/>
    <w:rsid w:val="00F830D3"/>
    <w:rsid w:val="00F91963"/>
    <w:rsid w:val="00F975E9"/>
    <w:rsid w:val="00FB5C67"/>
    <w:rsid w:val="00FC19C9"/>
    <w:rsid w:val="00FC37ED"/>
    <w:rsid w:val="00FF48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2E004"/>
  <w15:docId w15:val="{46C0DA05-1237-C546-8FDC-1CFF77BE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E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02ED5"/>
    <w:pPr>
      <w:spacing w:before="200"/>
      <w:outlineLvl w:val="1"/>
    </w:pPr>
    <w:rPr>
      <w:rFonts w:ascii="TUOS Stephenson" w:hAnsi="TUOS Stephenson"/>
      <w:b/>
      <w:color w:val="000000" w:themeColor="text1"/>
      <w:sz w:val="26"/>
      <w:szCs w:val="26"/>
      <w:lang w:eastAsia="zh-CN"/>
    </w:rPr>
  </w:style>
  <w:style w:type="paragraph" w:styleId="Heading3">
    <w:name w:val="heading 3"/>
    <w:basedOn w:val="Normal"/>
    <w:next w:val="Normal"/>
    <w:link w:val="Heading3Char"/>
    <w:uiPriority w:val="9"/>
    <w:unhideWhenUsed/>
    <w:qFormat/>
    <w:rsid w:val="00D231DD"/>
    <w:pPr>
      <w:keepNext/>
      <w:keepLines/>
      <w:spacing w:before="4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67"/>
    <w:pPr>
      <w:ind w:left="720"/>
      <w:contextualSpacing/>
    </w:pPr>
  </w:style>
  <w:style w:type="character" w:styleId="Hyperlink">
    <w:name w:val="Hyperlink"/>
    <w:basedOn w:val="DefaultParagraphFont"/>
    <w:uiPriority w:val="99"/>
    <w:unhideWhenUsed/>
    <w:rsid w:val="002710A3"/>
    <w:rPr>
      <w:color w:val="0563C1" w:themeColor="hyperlink"/>
      <w:u w:val="single"/>
    </w:rPr>
  </w:style>
  <w:style w:type="character" w:customStyle="1" w:styleId="UnresolvedMention1">
    <w:name w:val="Unresolved Mention1"/>
    <w:basedOn w:val="DefaultParagraphFont"/>
    <w:uiPriority w:val="99"/>
    <w:rsid w:val="002710A3"/>
    <w:rPr>
      <w:color w:val="605E5C"/>
      <w:shd w:val="clear" w:color="auto" w:fill="E1DFDD"/>
    </w:rPr>
  </w:style>
  <w:style w:type="paragraph" w:styleId="Footer">
    <w:name w:val="footer"/>
    <w:basedOn w:val="Normal"/>
    <w:link w:val="FooterChar"/>
    <w:uiPriority w:val="99"/>
    <w:unhideWhenUsed/>
    <w:rsid w:val="009A045D"/>
    <w:pPr>
      <w:tabs>
        <w:tab w:val="center" w:pos="4513"/>
        <w:tab w:val="right" w:pos="9026"/>
      </w:tabs>
    </w:pPr>
  </w:style>
  <w:style w:type="character" w:customStyle="1" w:styleId="FooterChar">
    <w:name w:val="Footer Char"/>
    <w:basedOn w:val="DefaultParagraphFont"/>
    <w:link w:val="Footer"/>
    <w:uiPriority w:val="99"/>
    <w:rsid w:val="009A045D"/>
  </w:style>
  <w:style w:type="character" w:styleId="PageNumber">
    <w:name w:val="page number"/>
    <w:basedOn w:val="DefaultParagraphFont"/>
    <w:uiPriority w:val="99"/>
    <w:semiHidden/>
    <w:unhideWhenUsed/>
    <w:rsid w:val="009A045D"/>
  </w:style>
  <w:style w:type="character" w:styleId="CommentReference">
    <w:name w:val="annotation reference"/>
    <w:basedOn w:val="DefaultParagraphFont"/>
    <w:uiPriority w:val="99"/>
    <w:semiHidden/>
    <w:unhideWhenUsed/>
    <w:rsid w:val="007C6469"/>
    <w:rPr>
      <w:sz w:val="18"/>
      <w:szCs w:val="18"/>
    </w:rPr>
  </w:style>
  <w:style w:type="paragraph" w:styleId="CommentText">
    <w:name w:val="annotation text"/>
    <w:basedOn w:val="Normal"/>
    <w:link w:val="CommentTextChar"/>
    <w:uiPriority w:val="99"/>
    <w:semiHidden/>
    <w:unhideWhenUsed/>
    <w:rsid w:val="007C6469"/>
  </w:style>
  <w:style w:type="character" w:customStyle="1" w:styleId="CommentTextChar">
    <w:name w:val="Comment Text Char"/>
    <w:basedOn w:val="DefaultParagraphFont"/>
    <w:link w:val="CommentText"/>
    <w:uiPriority w:val="99"/>
    <w:semiHidden/>
    <w:rsid w:val="004A3C92"/>
  </w:style>
  <w:style w:type="paragraph" w:styleId="CommentSubject">
    <w:name w:val="annotation subject"/>
    <w:basedOn w:val="CommentText"/>
    <w:next w:val="CommentText"/>
    <w:link w:val="CommentSubjectChar"/>
    <w:uiPriority w:val="99"/>
    <w:semiHidden/>
    <w:unhideWhenUsed/>
    <w:rsid w:val="007C6469"/>
    <w:rPr>
      <w:b/>
      <w:bCs/>
      <w:sz w:val="20"/>
      <w:szCs w:val="20"/>
    </w:rPr>
  </w:style>
  <w:style w:type="character" w:customStyle="1" w:styleId="CommentSubjectChar">
    <w:name w:val="Comment Subject Char"/>
    <w:basedOn w:val="CommentTextChar"/>
    <w:link w:val="CommentSubject"/>
    <w:uiPriority w:val="99"/>
    <w:semiHidden/>
    <w:rsid w:val="004A3C92"/>
    <w:rPr>
      <w:b/>
      <w:bCs/>
      <w:sz w:val="20"/>
      <w:szCs w:val="20"/>
    </w:rPr>
  </w:style>
  <w:style w:type="paragraph" w:styleId="BalloonText">
    <w:name w:val="Balloon Text"/>
    <w:basedOn w:val="Normal"/>
    <w:link w:val="BalloonTextChar"/>
    <w:uiPriority w:val="99"/>
    <w:semiHidden/>
    <w:unhideWhenUsed/>
    <w:rsid w:val="007C64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3C92"/>
    <w:rPr>
      <w:rFonts w:ascii="Times New Roman" w:hAnsi="Times New Roman" w:cs="Times New Roman"/>
      <w:sz w:val="18"/>
      <w:szCs w:val="18"/>
    </w:rPr>
  </w:style>
  <w:style w:type="paragraph" w:styleId="Header">
    <w:name w:val="header"/>
    <w:basedOn w:val="Normal"/>
    <w:link w:val="HeaderChar"/>
    <w:uiPriority w:val="99"/>
    <w:unhideWhenUsed/>
    <w:rsid w:val="007C6469"/>
    <w:pPr>
      <w:tabs>
        <w:tab w:val="center" w:pos="4513"/>
        <w:tab w:val="right" w:pos="9026"/>
      </w:tabs>
    </w:pPr>
  </w:style>
  <w:style w:type="character" w:customStyle="1" w:styleId="HeaderChar">
    <w:name w:val="Header Char"/>
    <w:basedOn w:val="DefaultParagraphFont"/>
    <w:link w:val="Header"/>
    <w:uiPriority w:val="99"/>
    <w:rsid w:val="007C6469"/>
  </w:style>
  <w:style w:type="paragraph" w:styleId="Revision">
    <w:name w:val="Revision"/>
    <w:hidden/>
    <w:uiPriority w:val="99"/>
    <w:semiHidden/>
    <w:rsid w:val="004431E8"/>
  </w:style>
  <w:style w:type="character" w:customStyle="1" w:styleId="apple-converted-space">
    <w:name w:val="apple-converted-space"/>
    <w:basedOn w:val="DefaultParagraphFont"/>
    <w:rsid w:val="00220F4D"/>
  </w:style>
  <w:style w:type="character" w:customStyle="1" w:styleId="Heading2Char">
    <w:name w:val="Heading 2 Char"/>
    <w:basedOn w:val="DefaultParagraphFont"/>
    <w:link w:val="Heading2"/>
    <w:uiPriority w:val="9"/>
    <w:rsid w:val="00402ED5"/>
    <w:rPr>
      <w:rFonts w:ascii="TUOS Stephenson" w:eastAsiaTheme="majorEastAsia" w:hAnsi="TUOS Stephenson" w:cstheme="majorBidi"/>
      <w:b/>
      <w:color w:val="000000" w:themeColor="text1"/>
      <w:sz w:val="26"/>
      <w:szCs w:val="26"/>
      <w:lang w:eastAsia="zh-CN"/>
    </w:rPr>
  </w:style>
  <w:style w:type="table" w:styleId="TableGrid">
    <w:name w:val="Table Grid"/>
    <w:basedOn w:val="TableNormal"/>
    <w:uiPriority w:val="59"/>
    <w:rsid w:val="00402ED5"/>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E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231DD"/>
    <w:rPr>
      <w:rFonts w:asciiTheme="majorHAnsi" w:eastAsiaTheme="majorEastAsia" w:hAnsiTheme="majorHAns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1">
      <w:bodyDiv w:val="1"/>
      <w:marLeft w:val="0"/>
      <w:marRight w:val="0"/>
      <w:marTop w:val="0"/>
      <w:marBottom w:val="0"/>
      <w:divBdr>
        <w:top w:val="none" w:sz="0" w:space="0" w:color="auto"/>
        <w:left w:val="none" w:sz="0" w:space="0" w:color="auto"/>
        <w:bottom w:val="none" w:sz="0" w:space="0" w:color="auto"/>
        <w:right w:val="none" w:sz="0" w:space="0" w:color="auto"/>
      </w:divBdr>
    </w:div>
    <w:div w:id="401027139">
      <w:bodyDiv w:val="1"/>
      <w:marLeft w:val="0"/>
      <w:marRight w:val="0"/>
      <w:marTop w:val="0"/>
      <w:marBottom w:val="0"/>
      <w:divBdr>
        <w:top w:val="none" w:sz="0" w:space="0" w:color="auto"/>
        <w:left w:val="none" w:sz="0" w:space="0" w:color="auto"/>
        <w:bottom w:val="none" w:sz="0" w:space="0" w:color="auto"/>
        <w:right w:val="none" w:sz="0" w:space="0" w:color="auto"/>
      </w:divBdr>
    </w:div>
    <w:div w:id="622156304">
      <w:bodyDiv w:val="1"/>
      <w:marLeft w:val="0"/>
      <w:marRight w:val="0"/>
      <w:marTop w:val="0"/>
      <w:marBottom w:val="0"/>
      <w:divBdr>
        <w:top w:val="none" w:sz="0" w:space="0" w:color="auto"/>
        <w:left w:val="none" w:sz="0" w:space="0" w:color="auto"/>
        <w:bottom w:val="none" w:sz="0" w:space="0" w:color="auto"/>
        <w:right w:val="none" w:sz="0" w:space="0" w:color="auto"/>
      </w:divBdr>
    </w:div>
    <w:div w:id="626351904">
      <w:bodyDiv w:val="1"/>
      <w:marLeft w:val="0"/>
      <w:marRight w:val="0"/>
      <w:marTop w:val="0"/>
      <w:marBottom w:val="0"/>
      <w:divBdr>
        <w:top w:val="none" w:sz="0" w:space="0" w:color="auto"/>
        <w:left w:val="none" w:sz="0" w:space="0" w:color="auto"/>
        <w:bottom w:val="none" w:sz="0" w:space="0" w:color="auto"/>
        <w:right w:val="none" w:sz="0" w:space="0" w:color="auto"/>
      </w:divBdr>
    </w:div>
    <w:div w:id="805122366">
      <w:bodyDiv w:val="1"/>
      <w:marLeft w:val="0"/>
      <w:marRight w:val="0"/>
      <w:marTop w:val="0"/>
      <w:marBottom w:val="0"/>
      <w:divBdr>
        <w:top w:val="none" w:sz="0" w:space="0" w:color="auto"/>
        <w:left w:val="none" w:sz="0" w:space="0" w:color="auto"/>
        <w:bottom w:val="none" w:sz="0" w:space="0" w:color="auto"/>
        <w:right w:val="none" w:sz="0" w:space="0" w:color="auto"/>
      </w:divBdr>
    </w:div>
    <w:div w:id="912356485">
      <w:bodyDiv w:val="1"/>
      <w:marLeft w:val="0"/>
      <w:marRight w:val="0"/>
      <w:marTop w:val="0"/>
      <w:marBottom w:val="0"/>
      <w:divBdr>
        <w:top w:val="none" w:sz="0" w:space="0" w:color="auto"/>
        <w:left w:val="none" w:sz="0" w:space="0" w:color="auto"/>
        <w:bottom w:val="none" w:sz="0" w:space="0" w:color="auto"/>
        <w:right w:val="none" w:sz="0" w:space="0" w:color="auto"/>
      </w:divBdr>
    </w:div>
    <w:div w:id="921991546">
      <w:bodyDiv w:val="1"/>
      <w:marLeft w:val="0"/>
      <w:marRight w:val="0"/>
      <w:marTop w:val="0"/>
      <w:marBottom w:val="0"/>
      <w:divBdr>
        <w:top w:val="none" w:sz="0" w:space="0" w:color="auto"/>
        <w:left w:val="none" w:sz="0" w:space="0" w:color="auto"/>
        <w:bottom w:val="none" w:sz="0" w:space="0" w:color="auto"/>
        <w:right w:val="none" w:sz="0" w:space="0" w:color="auto"/>
      </w:divBdr>
    </w:div>
    <w:div w:id="1452817779">
      <w:bodyDiv w:val="1"/>
      <w:marLeft w:val="0"/>
      <w:marRight w:val="0"/>
      <w:marTop w:val="0"/>
      <w:marBottom w:val="0"/>
      <w:divBdr>
        <w:top w:val="none" w:sz="0" w:space="0" w:color="auto"/>
        <w:left w:val="none" w:sz="0" w:space="0" w:color="auto"/>
        <w:bottom w:val="none" w:sz="0" w:space="0" w:color="auto"/>
        <w:right w:val="none" w:sz="0" w:space="0" w:color="auto"/>
      </w:divBdr>
    </w:div>
    <w:div w:id="1968584125">
      <w:bodyDiv w:val="1"/>
      <w:marLeft w:val="0"/>
      <w:marRight w:val="0"/>
      <w:marTop w:val="0"/>
      <w:marBottom w:val="0"/>
      <w:divBdr>
        <w:top w:val="none" w:sz="0" w:space="0" w:color="auto"/>
        <w:left w:val="none" w:sz="0" w:space="0" w:color="auto"/>
        <w:bottom w:val="none" w:sz="0" w:space="0" w:color="auto"/>
        <w:right w:val="none" w:sz="0" w:space="0" w:color="auto"/>
      </w:divBdr>
    </w:div>
    <w:div w:id="21298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ac.uk/humanities/lawschool/centreforthestudyofhumanrightslaw/" TargetMode="External"/><Relationship Id="rId13" Type="http://schemas.openxmlformats.org/officeDocument/2006/relationships/hyperlink" Target="https://www.strath.ac.uk/research/strathclydecentreenvironmentallawgovern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rath.ac.uk/humanities/lawschool/strathclydecentreforantitrustlawandempiricalstud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th.ac.uk/humanities/lawschool/centreforinternetlawand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rath.ac.uk/humanities/lawschool/centreforprofessionallegalstudies/" TargetMode="External"/><Relationship Id="rId4" Type="http://schemas.openxmlformats.org/officeDocument/2006/relationships/settings" Target="settings.xml"/><Relationship Id="rId9" Type="http://schemas.openxmlformats.org/officeDocument/2006/relationships/hyperlink" Target="https://www.strath.ac.uk/humanities/lawschool/centreforlawcrimeandjust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1614B-7ECD-47D7-B7CB-8450A477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3135</Words>
  <Characters>17871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James Cardwell</dc:creator>
  <cp:keywords/>
  <dc:description/>
  <cp:lastModifiedBy>Jemma Stirling-Garry</cp:lastModifiedBy>
  <cp:revision>3</cp:revision>
  <cp:lastPrinted>2021-04-21T10:18:00Z</cp:lastPrinted>
  <dcterms:created xsi:type="dcterms:W3CDTF">2021-09-01T12:43:00Z</dcterms:created>
  <dcterms:modified xsi:type="dcterms:W3CDTF">2021-09-01T12:48:00Z</dcterms:modified>
</cp:coreProperties>
</file>